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DE7" w:rsidRPr="00FE5DE7" w:rsidRDefault="00FE5DE7" w:rsidP="00FE5DE7">
      <w:pPr>
        <w:spacing w:after="0" w:line="360" w:lineRule="auto"/>
        <w:jc w:val="both"/>
        <w:rPr>
          <w:rFonts w:ascii="Times New Roman" w:hAnsi="Times New Roman" w:cs="Times New Roman"/>
          <w:b/>
          <w:sz w:val="24"/>
          <w:szCs w:val="24"/>
        </w:rPr>
      </w:pPr>
      <w:r w:rsidRPr="00FE5DE7">
        <w:rPr>
          <w:rFonts w:ascii="Times New Roman" w:hAnsi="Times New Roman" w:cs="Times New Roman"/>
          <w:b/>
          <w:sz w:val="24"/>
          <w:szCs w:val="24"/>
        </w:rPr>
        <w:t xml:space="preserve">Development of </w:t>
      </w:r>
      <w:proofErr w:type="spellStart"/>
      <w:r w:rsidRPr="00FE5DE7">
        <w:rPr>
          <w:rFonts w:ascii="Times New Roman" w:hAnsi="Times New Roman" w:cs="Times New Roman"/>
          <w:b/>
          <w:sz w:val="24"/>
          <w:szCs w:val="24"/>
        </w:rPr>
        <w:t>Gastroretentive</w:t>
      </w:r>
      <w:proofErr w:type="spellEnd"/>
      <w:r w:rsidRPr="00FE5DE7">
        <w:rPr>
          <w:rFonts w:ascii="Times New Roman" w:hAnsi="Times New Roman" w:cs="Times New Roman"/>
          <w:b/>
          <w:sz w:val="24"/>
          <w:szCs w:val="24"/>
        </w:rPr>
        <w:t xml:space="preserve"> Drug Delivery Systems based on N-</w:t>
      </w:r>
      <w:proofErr w:type="spellStart"/>
      <w:r w:rsidRPr="00FE5DE7">
        <w:rPr>
          <w:rFonts w:ascii="Times New Roman" w:hAnsi="Times New Roman" w:cs="Times New Roman"/>
          <w:b/>
          <w:sz w:val="24"/>
          <w:szCs w:val="24"/>
        </w:rPr>
        <w:t>isopropylacrylmide</w:t>
      </w:r>
      <w:proofErr w:type="spellEnd"/>
      <w:r w:rsidRPr="00FE5DE7">
        <w:rPr>
          <w:rFonts w:ascii="Times New Roman" w:hAnsi="Times New Roman" w:cs="Times New Roman"/>
          <w:b/>
          <w:sz w:val="24"/>
          <w:szCs w:val="24"/>
        </w:rPr>
        <w:t xml:space="preserve"> </w:t>
      </w:r>
      <w:proofErr w:type="spellStart"/>
      <w:r w:rsidRPr="00FE5DE7">
        <w:rPr>
          <w:rFonts w:ascii="Times New Roman" w:hAnsi="Times New Roman" w:cs="Times New Roman"/>
          <w:b/>
          <w:sz w:val="24"/>
          <w:szCs w:val="24"/>
        </w:rPr>
        <w:t>Hydrogels</w:t>
      </w:r>
      <w:proofErr w:type="spellEnd"/>
      <w:r w:rsidRPr="00FE5DE7">
        <w:rPr>
          <w:rFonts w:ascii="Times New Roman" w:hAnsi="Times New Roman" w:cs="Times New Roman"/>
          <w:b/>
          <w:sz w:val="24"/>
          <w:szCs w:val="24"/>
        </w:rPr>
        <w:t>.</w:t>
      </w:r>
    </w:p>
    <w:p w:rsidR="00FE5DE7" w:rsidRPr="00FE5DE7" w:rsidRDefault="00FE5DE7" w:rsidP="00FE5DE7">
      <w:pPr>
        <w:pStyle w:val="ListParagraph"/>
        <w:spacing w:after="0" w:line="360" w:lineRule="auto"/>
        <w:ind w:left="3960" w:firstLine="360"/>
        <w:jc w:val="both"/>
        <w:rPr>
          <w:rFonts w:ascii="Times New Roman" w:hAnsi="Times New Roman" w:cs="Times New Roman"/>
          <w:i/>
          <w:sz w:val="24"/>
          <w:szCs w:val="24"/>
        </w:rPr>
      </w:pPr>
      <w:r w:rsidRPr="00FE5DE7">
        <w:rPr>
          <w:rFonts w:ascii="Times New Roman" w:hAnsi="Times New Roman" w:cs="Times New Roman"/>
          <w:i/>
          <w:sz w:val="24"/>
          <w:szCs w:val="24"/>
        </w:rPr>
        <w:t>Abstract</w:t>
      </w:r>
    </w:p>
    <w:p w:rsidR="00FE5DE7" w:rsidRPr="00FE5DE7" w:rsidRDefault="0040425D" w:rsidP="00FE5D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It</w:t>
      </w:r>
      <w:r w:rsidR="00FE5DE7" w:rsidRPr="00FE5DE7">
        <w:rPr>
          <w:rFonts w:ascii="Times New Roman" w:hAnsi="Times New Roman" w:cs="Times New Roman"/>
          <w:sz w:val="24"/>
          <w:szCs w:val="24"/>
        </w:rPr>
        <w:t xml:space="preserve"> was planned to synthesize dual-responsive </w:t>
      </w:r>
      <w:proofErr w:type="spellStart"/>
      <w:r w:rsidR="00FE5DE7" w:rsidRPr="00FE5DE7">
        <w:rPr>
          <w:rFonts w:ascii="Times New Roman" w:hAnsi="Times New Roman" w:cs="Times New Roman"/>
          <w:sz w:val="24"/>
          <w:szCs w:val="24"/>
        </w:rPr>
        <w:t>hydrogels</w:t>
      </w:r>
      <w:proofErr w:type="spellEnd"/>
      <w:r w:rsidR="00FE5DE7" w:rsidRPr="00FE5DE7">
        <w:rPr>
          <w:rFonts w:ascii="Times New Roman" w:hAnsi="Times New Roman" w:cs="Times New Roman"/>
          <w:sz w:val="24"/>
          <w:szCs w:val="24"/>
        </w:rPr>
        <w:t xml:space="preserve"> from N-isopropyl </w:t>
      </w:r>
      <w:proofErr w:type="spellStart"/>
      <w:r w:rsidR="00FE5DE7" w:rsidRPr="00FE5DE7">
        <w:rPr>
          <w:rFonts w:ascii="Times New Roman" w:hAnsi="Times New Roman" w:cs="Times New Roman"/>
          <w:sz w:val="24"/>
          <w:szCs w:val="24"/>
        </w:rPr>
        <w:t>acrylamide</w:t>
      </w:r>
      <w:proofErr w:type="spellEnd"/>
      <w:r w:rsidR="00FE5DE7" w:rsidRPr="00FE5DE7">
        <w:rPr>
          <w:rFonts w:ascii="Times New Roman" w:hAnsi="Times New Roman" w:cs="Times New Roman"/>
          <w:sz w:val="24"/>
          <w:szCs w:val="24"/>
        </w:rPr>
        <w:t xml:space="preserve"> (</w:t>
      </w:r>
      <w:proofErr w:type="spellStart"/>
      <w:r w:rsidR="00FE5DE7" w:rsidRPr="00FE5DE7">
        <w:rPr>
          <w:rFonts w:ascii="Times New Roman" w:hAnsi="Times New Roman" w:cs="Times New Roman"/>
          <w:sz w:val="24"/>
          <w:szCs w:val="24"/>
        </w:rPr>
        <w:t>NiPAAm</w:t>
      </w:r>
      <w:proofErr w:type="spellEnd"/>
      <w:r w:rsidR="00FE5DE7" w:rsidRPr="00FE5DE7">
        <w:rPr>
          <w:rFonts w:ascii="Times New Roman" w:hAnsi="Times New Roman" w:cs="Times New Roman"/>
          <w:sz w:val="24"/>
          <w:szCs w:val="24"/>
        </w:rPr>
        <w:t xml:space="preserve">), acrylic acid (AA) and </w:t>
      </w:r>
      <w:proofErr w:type="spellStart"/>
      <w:r w:rsidR="00FE5DE7" w:rsidRPr="00FE5DE7">
        <w:rPr>
          <w:rFonts w:ascii="Times New Roman" w:hAnsi="Times New Roman" w:cs="Times New Roman"/>
          <w:sz w:val="24"/>
          <w:szCs w:val="24"/>
        </w:rPr>
        <w:t>methacrylate</w:t>
      </w:r>
      <w:proofErr w:type="spellEnd"/>
      <w:r w:rsidR="00FE5DE7" w:rsidRPr="00FE5DE7">
        <w:rPr>
          <w:rFonts w:ascii="Times New Roman" w:hAnsi="Times New Roman" w:cs="Times New Roman"/>
          <w:sz w:val="24"/>
          <w:szCs w:val="24"/>
        </w:rPr>
        <w:t xml:space="preserve"> (MA). </w:t>
      </w:r>
      <w:proofErr w:type="spellStart"/>
      <w:r w:rsidR="00FE5DE7" w:rsidRPr="00FE5DE7">
        <w:rPr>
          <w:rFonts w:ascii="Times New Roman" w:hAnsi="Times New Roman" w:cs="Times New Roman"/>
          <w:sz w:val="24"/>
          <w:szCs w:val="24"/>
        </w:rPr>
        <w:t>Hydrogels</w:t>
      </w:r>
      <w:proofErr w:type="spellEnd"/>
      <w:r w:rsidR="00FE5DE7" w:rsidRPr="00FE5DE7">
        <w:rPr>
          <w:rFonts w:ascii="Times New Roman" w:hAnsi="Times New Roman" w:cs="Times New Roman"/>
          <w:sz w:val="24"/>
          <w:szCs w:val="24"/>
        </w:rPr>
        <w:t xml:space="preserve"> were prepared by free radical copolymerization using ethyl alcohol as a solvent, a </w:t>
      </w:r>
      <w:proofErr w:type="spellStart"/>
      <w:r w:rsidR="00FE5DE7" w:rsidRPr="00FE5DE7">
        <w:rPr>
          <w:rFonts w:ascii="Times New Roman" w:hAnsi="Times New Roman" w:cs="Times New Roman"/>
          <w:sz w:val="24"/>
          <w:szCs w:val="24"/>
        </w:rPr>
        <w:t>redox</w:t>
      </w:r>
      <w:proofErr w:type="spellEnd"/>
      <w:r w:rsidR="00FE5DE7" w:rsidRPr="00FE5DE7">
        <w:rPr>
          <w:rFonts w:ascii="Times New Roman" w:hAnsi="Times New Roman" w:cs="Times New Roman"/>
          <w:sz w:val="24"/>
          <w:szCs w:val="24"/>
        </w:rPr>
        <w:t xml:space="preserve"> initiator, </w:t>
      </w:r>
      <w:proofErr w:type="spellStart"/>
      <w:r w:rsidR="00FE5DE7" w:rsidRPr="00FE5DE7">
        <w:rPr>
          <w:rFonts w:ascii="Times New Roman" w:hAnsi="Times New Roman" w:cs="Times New Roman"/>
          <w:sz w:val="24"/>
          <w:szCs w:val="24"/>
        </w:rPr>
        <w:t>benzoylperoxide</w:t>
      </w:r>
      <w:proofErr w:type="spellEnd"/>
      <w:r w:rsidR="00FE5DE7" w:rsidRPr="00FE5DE7">
        <w:rPr>
          <w:rFonts w:ascii="Times New Roman" w:hAnsi="Times New Roman" w:cs="Times New Roman"/>
          <w:sz w:val="24"/>
          <w:szCs w:val="24"/>
        </w:rPr>
        <w:t xml:space="preserve"> (BPO) and ethylene glycol </w:t>
      </w:r>
      <w:proofErr w:type="spellStart"/>
      <w:r w:rsidR="00FE5DE7" w:rsidRPr="00FE5DE7">
        <w:rPr>
          <w:rFonts w:ascii="Times New Roman" w:hAnsi="Times New Roman" w:cs="Times New Roman"/>
          <w:sz w:val="24"/>
          <w:szCs w:val="24"/>
        </w:rPr>
        <w:t>dimethacrylate</w:t>
      </w:r>
      <w:proofErr w:type="spellEnd"/>
      <w:r w:rsidR="00FE5DE7" w:rsidRPr="00FE5DE7">
        <w:rPr>
          <w:rFonts w:ascii="Times New Roman" w:hAnsi="Times New Roman" w:cs="Times New Roman"/>
          <w:sz w:val="24"/>
          <w:szCs w:val="24"/>
        </w:rPr>
        <w:t xml:space="preserve"> (EGDMA) and </w:t>
      </w:r>
      <w:proofErr w:type="spellStart"/>
      <w:r w:rsidR="00FE5DE7" w:rsidRPr="00FE5DE7">
        <w:rPr>
          <w:rFonts w:ascii="Times New Roman" w:hAnsi="Times New Roman" w:cs="Times New Roman"/>
          <w:sz w:val="24"/>
          <w:szCs w:val="24"/>
        </w:rPr>
        <w:t>diethylene</w:t>
      </w:r>
      <w:proofErr w:type="spellEnd"/>
      <w:r w:rsidR="00FE5DE7" w:rsidRPr="00FE5DE7">
        <w:rPr>
          <w:rFonts w:ascii="Times New Roman" w:hAnsi="Times New Roman" w:cs="Times New Roman"/>
          <w:sz w:val="24"/>
          <w:szCs w:val="24"/>
        </w:rPr>
        <w:t xml:space="preserve"> glycol </w:t>
      </w:r>
      <w:proofErr w:type="spellStart"/>
      <w:r w:rsidR="00FE5DE7" w:rsidRPr="00FE5DE7">
        <w:rPr>
          <w:rFonts w:ascii="Times New Roman" w:hAnsi="Times New Roman" w:cs="Times New Roman"/>
          <w:sz w:val="24"/>
          <w:szCs w:val="24"/>
        </w:rPr>
        <w:t>dimethacrylate</w:t>
      </w:r>
      <w:proofErr w:type="spellEnd"/>
      <w:r w:rsidR="00FE5DE7" w:rsidRPr="00FE5DE7">
        <w:rPr>
          <w:rFonts w:ascii="Times New Roman" w:hAnsi="Times New Roman" w:cs="Times New Roman"/>
          <w:sz w:val="24"/>
          <w:szCs w:val="24"/>
        </w:rPr>
        <w:t xml:space="preserve"> (DEGDMA)</w:t>
      </w:r>
      <w:r>
        <w:rPr>
          <w:rFonts w:ascii="Times New Roman" w:hAnsi="Times New Roman" w:cs="Times New Roman"/>
          <w:sz w:val="24"/>
          <w:szCs w:val="24"/>
        </w:rPr>
        <w:t xml:space="preserve"> as cross-linkers.</w:t>
      </w:r>
      <w:r w:rsidR="00FE5DE7" w:rsidRPr="00FE5DE7">
        <w:rPr>
          <w:rFonts w:ascii="Times New Roman" w:hAnsi="Times New Roman" w:cs="Times New Roman"/>
          <w:sz w:val="24"/>
          <w:szCs w:val="24"/>
        </w:rPr>
        <w:t xml:space="preserve"> </w:t>
      </w:r>
      <w:r w:rsidR="00BC3097">
        <w:rPr>
          <w:rFonts w:ascii="Times New Roman" w:hAnsi="Times New Roman" w:cs="Times New Roman"/>
          <w:sz w:val="24"/>
          <w:szCs w:val="24"/>
        </w:rPr>
        <w:t>T</w:t>
      </w:r>
      <w:r w:rsidR="00FE5DE7" w:rsidRPr="00FE5DE7">
        <w:rPr>
          <w:rFonts w:ascii="Times New Roman" w:hAnsi="Times New Roman" w:cs="Times New Roman"/>
          <w:sz w:val="24"/>
          <w:szCs w:val="24"/>
        </w:rPr>
        <w:t xml:space="preserve">he network parameters </w:t>
      </w:r>
      <w:r w:rsidR="00BC3097">
        <w:rPr>
          <w:rFonts w:ascii="Times New Roman" w:hAnsi="Times New Roman" w:cs="Times New Roman"/>
          <w:sz w:val="24"/>
          <w:szCs w:val="24"/>
        </w:rPr>
        <w:t>like</w:t>
      </w:r>
      <w:r w:rsidR="00FE5DE7" w:rsidRPr="00FE5DE7">
        <w:rPr>
          <w:rFonts w:ascii="Times New Roman" w:hAnsi="Times New Roman" w:cs="Times New Roman"/>
          <w:sz w:val="24"/>
          <w:szCs w:val="24"/>
        </w:rPr>
        <w:t xml:space="preserve"> polymer mesh size (ξ) (23.78 to 820 Å), molecular weight between the cross-links (M</w:t>
      </w:r>
      <w:r w:rsidR="00FE5DE7" w:rsidRPr="00FE5DE7">
        <w:rPr>
          <w:rFonts w:ascii="Times New Roman" w:hAnsi="Times New Roman" w:cs="Times New Roman"/>
          <w:sz w:val="24"/>
          <w:szCs w:val="24"/>
          <w:vertAlign w:val="subscript"/>
        </w:rPr>
        <w:t>c</w:t>
      </w:r>
      <w:r w:rsidR="00FE5DE7" w:rsidRPr="00FE5DE7">
        <w:rPr>
          <w:rFonts w:ascii="Times New Roman" w:hAnsi="Times New Roman" w:cs="Times New Roman"/>
          <w:sz w:val="24"/>
          <w:szCs w:val="24"/>
        </w:rPr>
        <w:t>) (970-356096 gmol</w:t>
      </w:r>
      <w:r w:rsidR="00FE5DE7" w:rsidRPr="00FE5DE7">
        <w:rPr>
          <w:rFonts w:ascii="Times New Roman" w:hAnsi="Times New Roman" w:cs="Times New Roman"/>
          <w:sz w:val="24"/>
          <w:szCs w:val="24"/>
          <w:vertAlign w:val="superscript"/>
        </w:rPr>
        <w:t>-1</w:t>
      </w:r>
      <w:r w:rsidR="00FE5DE7" w:rsidRPr="00FE5DE7">
        <w:rPr>
          <w:rFonts w:ascii="Times New Roman" w:hAnsi="Times New Roman" w:cs="Times New Roman"/>
          <w:sz w:val="24"/>
          <w:szCs w:val="24"/>
        </w:rPr>
        <w:t xml:space="preserve">) and crosslink density (q), (0.0928 to 0.00025) </w:t>
      </w:r>
      <w:r w:rsidR="00BC3097">
        <w:rPr>
          <w:rFonts w:ascii="Times New Roman" w:hAnsi="Times New Roman" w:cs="Times New Roman"/>
          <w:sz w:val="24"/>
          <w:szCs w:val="24"/>
        </w:rPr>
        <w:t xml:space="preserve">were calculated at various pH </w:t>
      </w:r>
      <w:r w:rsidR="00FE5DE7" w:rsidRPr="00FE5DE7">
        <w:rPr>
          <w:rFonts w:ascii="Times New Roman" w:hAnsi="Times New Roman" w:cs="Times New Roman"/>
          <w:sz w:val="24"/>
          <w:szCs w:val="24"/>
        </w:rPr>
        <w:t>using the Flory-</w:t>
      </w:r>
      <w:proofErr w:type="spellStart"/>
      <w:r w:rsidR="00FE5DE7" w:rsidRPr="00FE5DE7">
        <w:rPr>
          <w:rFonts w:ascii="Times New Roman" w:hAnsi="Times New Roman" w:cs="Times New Roman"/>
          <w:sz w:val="24"/>
          <w:szCs w:val="24"/>
        </w:rPr>
        <w:t>Rehner</w:t>
      </w:r>
      <w:proofErr w:type="spellEnd"/>
      <w:r w:rsidR="00FE5DE7" w:rsidRPr="00FE5DE7">
        <w:rPr>
          <w:rFonts w:ascii="Times New Roman" w:hAnsi="Times New Roman" w:cs="Times New Roman"/>
          <w:sz w:val="24"/>
          <w:szCs w:val="24"/>
        </w:rPr>
        <w:t xml:space="preserve"> Theory. </w:t>
      </w:r>
      <w:proofErr w:type="spellStart"/>
      <w:r>
        <w:rPr>
          <w:rFonts w:ascii="Times New Roman" w:hAnsi="Times New Roman" w:cs="Times New Roman"/>
          <w:sz w:val="24"/>
          <w:szCs w:val="24"/>
        </w:rPr>
        <w:t>Hydrogels</w:t>
      </w:r>
      <w:proofErr w:type="spellEnd"/>
      <w:r>
        <w:rPr>
          <w:rFonts w:ascii="Times New Roman" w:hAnsi="Times New Roman" w:cs="Times New Roman"/>
          <w:sz w:val="24"/>
          <w:szCs w:val="24"/>
        </w:rPr>
        <w:t xml:space="preserve"> </w:t>
      </w:r>
      <w:r w:rsidR="00FE5DE7" w:rsidRPr="00FE5DE7">
        <w:rPr>
          <w:rFonts w:ascii="Times New Roman" w:hAnsi="Times New Roman" w:cs="Times New Roman"/>
          <w:sz w:val="24"/>
          <w:szCs w:val="24"/>
        </w:rPr>
        <w:t>exhibit</w:t>
      </w:r>
      <w:r>
        <w:rPr>
          <w:rFonts w:ascii="Times New Roman" w:hAnsi="Times New Roman" w:cs="Times New Roman"/>
          <w:sz w:val="24"/>
          <w:szCs w:val="24"/>
        </w:rPr>
        <w:t>ed</w:t>
      </w:r>
      <w:r w:rsidR="00FE5DE7" w:rsidRPr="00FE5DE7">
        <w:rPr>
          <w:rFonts w:ascii="Times New Roman" w:hAnsi="Times New Roman" w:cs="Times New Roman"/>
          <w:sz w:val="24"/>
          <w:szCs w:val="24"/>
        </w:rPr>
        <w:t xml:space="preserve"> the non-</w:t>
      </w:r>
      <w:proofErr w:type="spellStart"/>
      <w:r w:rsidR="00FE5DE7" w:rsidRPr="00FE5DE7">
        <w:rPr>
          <w:rFonts w:ascii="Times New Roman" w:hAnsi="Times New Roman" w:cs="Times New Roman"/>
          <w:sz w:val="24"/>
          <w:szCs w:val="24"/>
        </w:rPr>
        <w:t>Fickian</w:t>
      </w:r>
      <w:proofErr w:type="spellEnd"/>
      <w:r w:rsidR="00FE5DE7" w:rsidRPr="00FE5DE7">
        <w:rPr>
          <w:rFonts w:ascii="Times New Roman" w:hAnsi="Times New Roman" w:cs="Times New Roman"/>
          <w:sz w:val="24"/>
          <w:szCs w:val="24"/>
        </w:rPr>
        <w:t xml:space="preserve"> diffusion mechanism. FTIR spectral analysis </w:t>
      </w:r>
      <w:r>
        <w:rPr>
          <w:rFonts w:ascii="Times New Roman" w:hAnsi="Times New Roman" w:cs="Times New Roman"/>
          <w:sz w:val="24"/>
          <w:szCs w:val="24"/>
        </w:rPr>
        <w:t xml:space="preserve">and </w:t>
      </w:r>
      <w:r w:rsidR="00FE5DE7" w:rsidRPr="00FE5DE7">
        <w:rPr>
          <w:rFonts w:ascii="Times New Roman" w:hAnsi="Times New Roman" w:cs="Times New Roman"/>
          <w:sz w:val="24"/>
          <w:szCs w:val="24"/>
        </w:rPr>
        <w:t xml:space="preserve">(TGA/DSC) were carried out to </w:t>
      </w:r>
      <w:r>
        <w:rPr>
          <w:rFonts w:ascii="Times New Roman" w:hAnsi="Times New Roman" w:cs="Times New Roman"/>
          <w:sz w:val="24"/>
          <w:szCs w:val="24"/>
        </w:rPr>
        <w:t xml:space="preserve">characterize the systems and new LCST was found to be increased. </w:t>
      </w:r>
      <w:proofErr w:type="spellStart"/>
      <w:r w:rsidR="00FE5DE7" w:rsidRPr="00FE5DE7">
        <w:rPr>
          <w:rFonts w:ascii="Times New Roman" w:hAnsi="Times New Roman" w:cs="Times New Roman"/>
          <w:sz w:val="24"/>
          <w:szCs w:val="24"/>
        </w:rPr>
        <w:t>Tramadol</w:t>
      </w:r>
      <w:proofErr w:type="spellEnd"/>
      <w:r w:rsidR="00FE5DE7" w:rsidRPr="00FE5DE7">
        <w:rPr>
          <w:rFonts w:ascii="Times New Roman" w:hAnsi="Times New Roman" w:cs="Times New Roman"/>
          <w:sz w:val="24"/>
          <w:szCs w:val="24"/>
        </w:rPr>
        <w:t xml:space="preserve"> </w:t>
      </w:r>
      <w:proofErr w:type="spellStart"/>
      <w:r w:rsidR="00FE5DE7" w:rsidRPr="00FE5DE7">
        <w:rPr>
          <w:rFonts w:ascii="Times New Roman" w:hAnsi="Times New Roman" w:cs="Times New Roman"/>
          <w:sz w:val="24"/>
          <w:szCs w:val="24"/>
        </w:rPr>
        <w:t>HCl</w:t>
      </w:r>
      <w:proofErr w:type="spellEnd"/>
      <w:r w:rsidR="00FE5DE7" w:rsidRPr="00FE5DE7">
        <w:rPr>
          <w:rFonts w:ascii="Times New Roman" w:hAnsi="Times New Roman" w:cs="Times New Roman"/>
          <w:sz w:val="24"/>
          <w:szCs w:val="24"/>
        </w:rPr>
        <w:t xml:space="preserve"> was used as the model drug to investigate the drug loading and unloading behavior of these gels. It was concluded that these systems exhibited a sharp change in their media sorption capacity and mesh size of the networks with the change in the pH and temperature of the swelling media, proposing their strong candidature for being used as oral drug delivery systems. The results favored the idea to apply these </w:t>
      </w:r>
      <w:proofErr w:type="spellStart"/>
      <w:r w:rsidR="00FE5DE7" w:rsidRPr="00FE5DE7">
        <w:rPr>
          <w:rFonts w:ascii="Times New Roman" w:hAnsi="Times New Roman" w:cs="Times New Roman"/>
          <w:sz w:val="24"/>
          <w:szCs w:val="24"/>
        </w:rPr>
        <w:t>hydrogels</w:t>
      </w:r>
      <w:proofErr w:type="spellEnd"/>
      <w:r w:rsidR="00FE5DE7" w:rsidRPr="00FE5DE7">
        <w:rPr>
          <w:rFonts w:ascii="Times New Roman" w:hAnsi="Times New Roman" w:cs="Times New Roman"/>
          <w:sz w:val="24"/>
          <w:szCs w:val="24"/>
        </w:rPr>
        <w:t xml:space="preserve"> to use as targeted drug delivery systems for the proximal part of the gastro-intestinal tract.</w:t>
      </w:r>
    </w:p>
    <w:p w:rsidR="00C75A5A" w:rsidRPr="00FE5DE7" w:rsidRDefault="00C75A5A" w:rsidP="00FE5DE7">
      <w:pPr>
        <w:spacing w:line="360" w:lineRule="auto"/>
        <w:rPr>
          <w:sz w:val="24"/>
          <w:szCs w:val="24"/>
        </w:rPr>
      </w:pPr>
    </w:p>
    <w:sectPr w:rsidR="00C75A5A" w:rsidRPr="00FE5DE7" w:rsidSect="00C75A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FE5DE7"/>
    <w:rsid w:val="0040425D"/>
    <w:rsid w:val="00965C2C"/>
    <w:rsid w:val="00BC3097"/>
    <w:rsid w:val="00C75A5A"/>
    <w:rsid w:val="00E5034D"/>
    <w:rsid w:val="00FE5D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D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DE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Rubab</dc:creator>
  <cp:lastModifiedBy>hamza</cp:lastModifiedBy>
  <cp:revision>3</cp:revision>
  <dcterms:created xsi:type="dcterms:W3CDTF">2014-05-26T04:41:00Z</dcterms:created>
  <dcterms:modified xsi:type="dcterms:W3CDTF">2015-04-24T07:07:00Z</dcterms:modified>
</cp:coreProperties>
</file>