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9CB" w:rsidRPr="00B42743" w:rsidRDefault="000239CB" w:rsidP="000239CB">
      <w:pPr>
        <w:pStyle w:val="NormalWeb"/>
        <w:spacing w:before="0" w:beforeAutospacing="0" w:after="0" w:afterAutospacing="0"/>
        <w:jc w:val="center"/>
        <w:rPr>
          <w:b/>
          <w:bCs/>
          <w:sz w:val="18"/>
          <w:szCs w:val="18"/>
        </w:rPr>
      </w:pPr>
      <w:r w:rsidRPr="00B42743">
        <w:rPr>
          <w:b/>
          <w:bCs/>
          <w:sz w:val="18"/>
          <w:szCs w:val="18"/>
        </w:rPr>
        <w:t xml:space="preserve">Development </w:t>
      </w:r>
      <w:r w:rsidRPr="00B42743">
        <w:rPr>
          <w:b/>
          <w:bCs/>
          <w:sz w:val="18"/>
          <w:szCs w:val="18"/>
        </w:rPr>
        <w:t>of</w:t>
      </w:r>
      <w:r w:rsidRPr="00B42743">
        <w:rPr>
          <w:b/>
          <w:bCs/>
          <w:sz w:val="18"/>
          <w:szCs w:val="18"/>
        </w:rPr>
        <w:t xml:space="preserve"> </w:t>
      </w:r>
      <w:r w:rsidRPr="00B42743">
        <w:rPr>
          <w:b/>
          <w:bCs/>
          <w:sz w:val="18"/>
          <w:szCs w:val="18"/>
        </w:rPr>
        <w:t>a</w:t>
      </w:r>
      <w:r w:rsidRPr="00B42743">
        <w:rPr>
          <w:b/>
          <w:bCs/>
          <w:sz w:val="18"/>
          <w:szCs w:val="18"/>
        </w:rPr>
        <w:t xml:space="preserve"> Rejuvenating Formulation Using Rosehip Oil</w:t>
      </w:r>
    </w:p>
    <w:p w:rsidR="006F5F3C" w:rsidRPr="00B42743" w:rsidRDefault="00962AF7" w:rsidP="00DE3782">
      <w:pPr>
        <w:pStyle w:val="BodyText"/>
        <w:spacing w:before="73" w:line="198" w:lineRule="exact"/>
        <w:ind w:right="5987"/>
        <w:sectPr w:rsidR="006F5F3C" w:rsidRPr="00B42743" w:rsidSect="006F5F3C">
          <w:headerReference w:type="default" r:id="rId8"/>
          <w:footerReference w:type="default" r:id="rId9"/>
          <w:pgSz w:w="11910" w:h="16840"/>
          <w:pgMar w:top="1740" w:right="600" w:bottom="840" w:left="620" w:header="541" w:footer="642" w:gutter="0"/>
          <w:cols w:space="720"/>
        </w:sectPr>
      </w:pPr>
      <w:proofErr w:type="spellStart"/>
      <w:r w:rsidRPr="00B42743">
        <w:t>Heyam</w:t>
      </w:r>
      <w:proofErr w:type="spellEnd"/>
      <w:r w:rsidRPr="00B42743">
        <w:t xml:space="preserve"> </w:t>
      </w:r>
      <w:proofErr w:type="spellStart"/>
      <w:r w:rsidRPr="00B42743">
        <w:t>Saad</w:t>
      </w:r>
      <w:proofErr w:type="spellEnd"/>
      <w:r w:rsidRPr="00B42743">
        <w:t xml:space="preserve"> Ali, Pharmaceutics, Dubai Pharmacy College, Dubai, UAE. </w:t>
      </w:r>
    </w:p>
    <w:p w:rsidR="006F5F3C" w:rsidRPr="00B42743" w:rsidRDefault="006F5F3C" w:rsidP="006F5F3C">
      <w:pPr>
        <w:pStyle w:val="Heading3"/>
        <w:spacing w:before="147"/>
        <w:jc w:val="both"/>
        <w:rPr>
          <w:color w:val="BF5A14"/>
          <w:sz w:val="18"/>
          <w:szCs w:val="18"/>
        </w:rPr>
      </w:pPr>
      <w:r w:rsidRPr="00B42743">
        <w:rPr>
          <w:color w:val="BF5A14"/>
          <w:sz w:val="18"/>
          <w:szCs w:val="18"/>
        </w:rPr>
        <w:lastRenderedPageBreak/>
        <w:t>Abstract (300 word limit)</w:t>
      </w:r>
    </w:p>
    <w:p w:rsidR="00025095" w:rsidRDefault="00025095" w:rsidP="00B50305">
      <w:pPr>
        <w:pStyle w:val="NormalWeb"/>
        <w:spacing w:before="0" w:beforeAutospacing="0" w:after="0" w:afterAutospacing="0"/>
        <w:jc w:val="both"/>
        <w:rPr>
          <w:rFonts w:ascii="Tw Cen MT" w:hAnsi="Tw Cen MT"/>
          <w:sz w:val="18"/>
          <w:szCs w:val="18"/>
        </w:rPr>
      </w:pPr>
      <w:r w:rsidRPr="00B42743">
        <w:rPr>
          <w:rFonts w:ascii="Tw Cen MT" w:hAnsi="Tw Cen MT"/>
          <w:sz w:val="18"/>
          <w:szCs w:val="18"/>
        </w:rPr>
        <w:t>Every woman all over the world is obsessed to attain beauty an all ages in her life. However,   the health implications that may result from the chronic use of toxic additives present in cosmetic products, urge the consumer to go for herbal cosmetic products</w:t>
      </w:r>
      <w:r w:rsidR="001118D0">
        <w:rPr>
          <w:rFonts w:ascii="Tw Cen MT" w:hAnsi="Tw Cen MT"/>
          <w:sz w:val="18"/>
          <w:szCs w:val="18"/>
        </w:rPr>
        <w:t xml:space="preserve"> </w:t>
      </w:r>
      <w:r w:rsidR="001118D0" w:rsidRPr="00B42743">
        <w:rPr>
          <w:rFonts w:ascii="Tw Cen MT" w:hAnsi="Tw Cen MT"/>
          <w:sz w:val="18"/>
          <w:szCs w:val="18"/>
        </w:rPr>
        <w:t>[</w:t>
      </w:r>
      <w:r w:rsidR="001118D0">
        <w:rPr>
          <w:rFonts w:ascii="Tw Cen MT" w:hAnsi="Tw Cen MT"/>
          <w:sz w:val="18"/>
          <w:szCs w:val="18"/>
        </w:rPr>
        <w:t>1</w:t>
      </w:r>
      <w:r w:rsidR="001118D0">
        <w:rPr>
          <w:rFonts w:ascii="Tw Cen MT" w:hAnsi="Tw Cen MT"/>
          <w:sz w:val="18"/>
          <w:szCs w:val="18"/>
        </w:rPr>
        <w:t>]</w:t>
      </w:r>
      <w:r w:rsidRPr="00B42743">
        <w:rPr>
          <w:rFonts w:ascii="Tw Cen MT" w:hAnsi="Tw Cen MT"/>
          <w:sz w:val="18"/>
          <w:szCs w:val="18"/>
        </w:rPr>
        <w:t>. Therefore, the aim of this study to develop and evaluate the beneficial effects of rose hip oil</w:t>
      </w:r>
      <w:r w:rsidR="005C2F7A" w:rsidRPr="00B42743">
        <w:rPr>
          <w:rFonts w:ascii="Tw Cen MT" w:hAnsi="Tw Cen MT"/>
          <w:sz w:val="18"/>
          <w:szCs w:val="18"/>
        </w:rPr>
        <w:t xml:space="preserve"> (ROP)</w:t>
      </w:r>
      <w:r w:rsidRPr="00B42743">
        <w:rPr>
          <w:rFonts w:ascii="Tw Cen MT" w:hAnsi="Tw Cen MT"/>
          <w:sz w:val="18"/>
          <w:szCs w:val="18"/>
        </w:rPr>
        <w:t xml:space="preserve"> topical formulation in the suitable </w:t>
      </w:r>
      <w:r w:rsidR="00B50305">
        <w:rPr>
          <w:rFonts w:ascii="Tw Cen MT" w:hAnsi="Tw Cen MT"/>
          <w:sz w:val="18"/>
          <w:szCs w:val="18"/>
        </w:rPr>
        <w:t>cream.</w:t>
      </w:r>
      <w:r w:rsidRPr="00B42743">
        <w:rPr>
          <w:rFonts w:ascii="Tw Cen MT" w:hAnsi="Tw Cen MT"/>
          <w:sz w:val="18"/>
          <w:szCs w:val="18"/>
        </w:rPr>
        <w:t xml:space="preserve"> </w:t>
      </w:r>
    </w:p>
    <w:p w:rsidR="00B33E11" w:rsidRPr="00B42743" w:rsidRDefault="00B33E11" w:rsidP="00B33E11">
      <w:pPr>
        <w:pStyle w:val="NormalWeb"/>
        <w:spacing w:before="0" w:beforeAutospacing="0" w:after="0" w:afterAutospacing="0"/>
        <w:jc w:val="both"/>
        <w:rPr>
          <w:rFonts w:ascii="Tw Cen MT" w:hAnsi="Tw Cen MT"/>
          <w:sz w:val="18"/>
          <w:szCs w:val="18"/>
        </w:rPr>
      </w:pPr>
      <w:r w:rsidRPr="00B42743">
        <w:rPr>
          <w:rFonts w:ascii="Tw Cen MT" w:hAnsi="Tw Cen MT"/>
          <w:sz w:val="18"/>
          <w:szCs w:val="18"/>
        </w:rPr>
        <w:t>Therefore, the aim of this study to develop and evaluate the beneficial effects of rose hip oil.</w:t>
      </w:r>
    </w:p>
    <w:p w:rsidR="00B33E11" w:rsidRPr="00B42743" w:rsidRDefault="00B33E11" w:rsidP="001118D0">
      <w:pPr>
        <w:pStyle w:val="NormalWeb"/>
        <w:spacing w:before="0" w:beforeAutospacing="0" w:after="0" w:afterAutospacing="0"/>
        <w:jc w:val="both"/>
        <w:rPr>
          <w:rFonts w:ascii="Tw Cen MT" w:hAnsi="Tw Cen MT"/>
          <w:sz w:val="18"/>
          <w:szCs w:val="18"/>
        </w:rPr>
      </w:pPr>
      <w:r w:rsidRPr="00B42743">
        <w:rPr>
          <w:rFonts w:ascii="Tw Cen MT" w:hAnsi="Tw Cen MT"/>
          <w:sz w:val="18"/>
          <w:szCs w:val="18"/>
        </w:rPr>
        <w:t xml:space="preserve"> “Rosa </w:t>
      </w:r>
      <w:proofErr w:type="spellStart"/>
      <w:r w:rsidRPr="00B42743">
        <w:rPr>
          <w:rFonts w:ascii="Tw Cen MT" w:hAnsi="Tw Cen MT"/>
          <w:sz w:val="18"/>
          <w:szCs w:val="18"/>
        </w:rPr>
        <w:t>mosqueta</w:t>
      </w:r>
      <w:proofErr w:type="spellEnd"/>
      <w:r w:rsidRPr="00B42743">
        <w:rPr>
          <w:rFonts w:ascii="Tw Cen MT" w:hAnsi="Tw Cen MT"/>
          <w:sz w:val="18"/>
          <w:szCs w:val="18"/>
        </w:rPr>
        <w:t xml:space="preserve">” or “Rosehip”, is a generic name which covers about 70 different species of plants of the genus Rosa, as Rosa </w:t>
      </w:r>
      <w:proofErr w:type="spellStart"/>
      <w:r w:rsidRPr="00B42743">
        <w:rPr>
          <w:rFonts w:ascii="Tw Cen MT" w:hAnsi="Tw Cen MT"/>
          <w:sz w:val="18"/>
          <w:szCs w:val="18"/>
        </w:rPr>
        <w:t>rubiginosa</w:t>
      </w:r>
      <w:proofErr w:type="spellEnd"/>
      <w:r w:rsidRPr="00B42743">
        <w:rPr>
          <w:rFonts w:ascii="Tw Cen MT" w:hAnsi="Tw Cen MT"/>
          <w:sz w:val="18"/>
          <w:szCs w:val="18"/>
        </w:rPr>
        <w:t xml:space="preserve">, Rosa </w:t>
      </w:r>
      <w:proofErr w:type="spellStart"/>
      <w:r w:rsidRPr="00B42743">
        <w:rPr>
          <w:rFonts w:ascii="Tw Cen MT" w:hAnsi="Tw Cen MT"/>
          <w:sz w:val="18"/>
          <w:szCs w:val="18"/>
        </w:rPr>
        <w:t>moschata</w:t>
      </w:r>
      <w:proofErr w:type="spellEnd"/>
      <w:r w:rsidRPr="00B42743">
        <w:rPr>
          <w:rFonts w:ascii="Tw Cen MT" w:hAnsi="Tw Cen MT"/>
          <w:sz w:val="18"/>
          <w:szCs w:val="18"/>
        </w:rPr>
        <w:t xml:space="preserve"> and Rosa </w:t>
      </w:r>
      <w:proofErr w:type="spellStart"/>
      <w:r w:rsidRPr="00B42743">
        <w:rPr>
          <w:rFonts w:ascii="Tw Cen MT" w:hAnsi="Tw Cen MT"/>
          <w:sz w:val="18"/>
          <w:szCs w:val="18"/>
        </w:rPr>
        <w:t>canina</w:t>
      </w:r>
      <w:proofErr w:type="spellEnd"/>
      <w:r w:rsidRPr="00B42743">
        <w:rPr>
          <w:rFonts w:ascii="Tw Cen MT" w:hAnsi="Tw Cen MT"/>
          <w:sz w:val="18"/>
          <w:szCs w:val="18"/>
        </w:rPr>
        <w:t xml:space="preserve"> [</w:t>
      </w:r>
      <w:r w:rsidR="001118D0">
        <w:rPr>
          <w:rFonts w:ascii="Tw Cen MT" w:hAnsi="Tw Cen MT"/>
          <w:sz w:val="18"/>
          <w:szCs w:val="18"/>
        </w:rPr>
        <w:t>2</w:t>
      </w:r>
      <w:r w:rsidRPr="00B42743">
        <w:rPr>
          <w:rFonts w:ascii="Tw Cen MT" w:hAnsi="Tw Cen MT"/>
          <w:sz w:val="18"/>
          <w:szCs w:val="18"/>
        </w:rPr>
        <w:t xml:space="preserve">]. In the cosmetic field, the RHO has been used for decades due to </w:t>
      </w:r>
      <w:proofErr w:type="spellStart"/>
      <w:r w:rsidRPr="00B42743">
        <w:rPr>
          <w:rFonts w:ascii="Tw Cen MT" w:hAnsi="Tw Cen MT"/>
          <w:sz w:val="18"/>
          <w:szCs w:val="18"/>
        </w:rPr>
        <w:t>transretinoic</w:t>
      </w:r>
      <w:proofErr w:type="spellEnd"/>
      <w:r w:rsidRPr="00B42743">
        <w:rPr>
          <w:rFonts w:ascii="Tw Cen MT" w:hAnsi="Tw Cen MT"/>
          <w:sz w:val="18"/>
          <w:szCs w:val="18"/>
        </w:rPr>
        <w:t xml:space="preserve"> acid or natural </w:t>
      </w:r>
      <w:proofErr w:type="spellStart"/>
      <w:r w:rsidRPr="00B42743">
        <w:rPr>
          <w:rFonts w:ascii="Tw Cen MT" w:hAnsi="Tw Cen MT"/>
          <w:sz w:val="18"/>
          <w:szCs w:val="18"/>
        </w:rPr>
        <w:t>tretinoin</w:t>
      </w:r>
      <w:proofErr w:type="spellEnd"/>
      <w:r w:rsidRPr="00B42743">
        <w:rPr>
          <w:rFonts w:ascii="Tw Cen MT" w:hAnsi="Tw Cen MT"/>
          <w:sz w:val="18"/>
          <w:szCs w:val="18"/>
        </w:rPr>
        <w:t xml:space="preserve"> (between 0.01% and 0.1%)</w:t>
      </w:r>
      <w:r>
        <w:rPr>
          <w:rFonts w:ascii="Tw Cen MT" w:hAnsi="Tw Cen MT"/>
          <w:sz w:val="18"/>
          <w:szCs w:val="18"/>
        </w:rPr>
        <w:t xml:space="preserve"> </w:t>
      </w:r>
      <w:r w:rsidRPr="00B42743">
        <w:rPr>
          <w:rFonts w:ascii="Tw Cen MT" w:hAnsi="Tw Cen MT"/>
          <w:sz w:val="18"/>
          <w:szCs w:val="18"/>
        </w:rPr>
        <w:t>[</w:t>
      </w:r>
      <w:r w:rsidR="001118D0">
        <w:rPr>
          <w:rFonts w:ascii="Tw Cen MT" w:hAnsi="Tw Cen MT"/>
          <w:sz w:val="18"/>
          <w:szCs w:val="18"/>
        </w:rPr>
        <w:t>3</w:t>
      </w:r>
      <w:r>
        <w:rPr>
          <w:rFonts w:ascii="Tw Cen MT" w:hAnsi="Tw Cen MT"/>
          <w:sz w:val="18"/>
          <w:szCs w:val="18"/>
        </w:rPr>
        <w:t xml:space="preserve">]. </w:t>
      </w:r>
      <w:proofErr w:type="gramStart"/>
      <w:r w:rsidRPr="00B42743">
        <w:rPr>
          <w:rFonts w:ascii="Tw Cen MT" w:hAnsi="Tw Cen MT"/>
          <w:sz w:val="18"/>
          <w:szCs w:val="18"/>
        </w:rPr>
        <w:t>The</w:t>
      </w:r>
      <w:proofErr w:type="gramEnd"/>
      <w:r w:rsidRPr="00B42743">
        <w:rPr>
          <w:rFonts w:ascii="Tw Cen MT" w:hAnsi="Tw Cen MT"/>
          <w:sz w:val="18"/>
          <w:szCs w:val="18"/>
        </w:rPr>
        <w:t xml:space="preserve"> emollient properties of the oil has been attributed to its high content of essential fatty and unsaturated acids, polyunsaturated fatty acid highlights: linoleic acid (54%), </w:t>
      </w:r>
      <w:proofErr w:type="spellStart"/>
      <w:r w:rsidRPr="00B42743">
        <w:rPr>
          <w:rFonts w:ascii="Tw Cen MT" w:hAnsi="Tw Cen MT"/>
          <w:sz w:val="18"/>
          <w:szCs w:val="18"/>
        </w:rPr>
        <w:t>linolenic</w:t>
      </w:r>
      <w:proofErr w:type="spellEnd"/>
      <w:r w:rsidRPr="00B42743">
        <w:rPr>
          <w:rFonts w:ascii="Tw Cen MT" w:hAnsi="Tw Cen MT"/>
          <w:sz w:val="18"/>
          <w:szCs w:val="18"/>
        </w:rPr>
        <w:t xml:space="preserve"> acid (17%) and oleic acid (16%)</w:t>
      </w:r>
      <w:r>
        <w:rPr>
          <w:rFonts w:ascii="Tw Cen MT" w:hAnsi="Tw Cen MT"/>
          <w:sz w:val="18"/>
          <w:szCs w:val="18"/>
        </w:rPr>
        <w:t xml:space="preserve"> </w:t>
      </w:r>
      <w:r w:rsidRPr="00B42743">
        <w:rPr>
          <w:rFonts w:ascii="Tw Cen MT" w:hAnsi="Tw Cen MT"/>
          <w:sz w:val="18"/>
          <w:szCs w:val="18"/>
        </w:rPr>
        <w:t>[</w:t>
      </w:r>
      <w:r w:rsidR="001118D0">
        <w:rPr>
          <w:rFonts w:ascii="Tw Cen MT" w:hAnsi="Tw Cen MT"/>
          <w:sz w:val="18"/>
          <w:szCs w:val="18"/>
        </w:rPr>
        <w:t>4</w:t>
      </w:r>
      <w:r w:rsidRPr="00B42743">
        <w:rPr>
          <w:rFonts w:ascii="Tw Cen MT" w:hAnsi="Tw Cen MT"/>
          <w:sz w:val="18"/>
          <w:szCs w:val="18"/>
        </w:rPr>
        <w:t>].</w:t>
      </w:r>
    </w:p>
    <w:p w:rsidR="00B33E11" w:rsidRPr="00B42743" w:rsidRDefault="00B33E11" w:rsidP="00B50305">
      <w:pPr>
        <w:pStyle w:val="NormalWeb"/>
        <w:spacing w:before="0" w:beforeAutospacing="0" w:after="0" w:afterAutospacing="0"/>
        <w:jc w:val="both"/>
        <w:rPr>
          <w:rFonts w:ascii="Tw Cen MT" w:hAnsi="Tw Cen MT"/>
          <w:sz w:val="18"/>
          <w:szCs w:val="18"/>
        </w:rPr>
      </w:pPr>
    </w:p>
    <w:p w:rsidR="00D90423" w:rsidRPr="00B42743" w:rsidRDefault="00025095" w:rsidP="00536866">
      <w:pPr>
        <w:widowControl/>
        <w:autoSpaceDE w:val="0"/>
        <w:autoSpaceDN w:val="0"/>
        <w:adjustRightInd w:val="0"/>
        <w:jc w:val="both"/>
        <w:rPr>
          <w:rFonts w:eastAsia="Times New Roman" w:cs="Times New Roman"/>
          <w:sz w:val="18"/>
          <w:szCs w:val="18"/>
        </w:rPr>
      </w:pPr>
      <w:r w:rsidRPr="00B42743">
        <w:rPr>
          <w:rFonts w:eastAsia="Times New Roman" w:cs="Times New Roman"/>
          <w:sz w:val="18"/>
          <w:szCs w:val="18"/>
        </w:rPr>
        <w:t>The method involves</w:t>
      </w:r>
      <w:r w:rsidR="005C2F7A" w:rsidRPr="00B42743">
        <w:rPr>
          <w:rFonts w:eastAsia="Times New Roman" w:cs="Times New Roman"/>
          <w:sz w:val="18"/>
          <w:szCs w:val="18"/>
        </w:rPr>
        <w:t xml:space="preserve"> 1-</w:t>
      </w:r>
      <w:r w:rsidRPr="00B42743">
        <w:rPr>
          <w:rFonts w:eastAsia="Times New Roman" w:cs="Times New Roman"/>
          <w:sz w:val="18"/>
          <w:szCs w:val="18"/>
        </w:rPr>
        <w:t xml:space="preserve"> preparation of </w:t>
      </w:r>
      <w:r w:rsidR="00B50305">
        <w:rPr>
          <w:rFonts w:eastAsia="Times New Roman" w:cs="Times New Roman"/>
          <w:sz w:val="18"/>
          <w:szCs w:val="18"/>
        </w:rPr>
        <w:t>Rose hip oil (</w:t>
      </w:r>
      <w:r w:rsidR="005C2F7A" w:rsidRPr="00B42743">
        <w:rPr>
          <w:rFonts w:eastAsia="Times New Roman" w:cs="Times New Roman"/>
          <w:sz w:val="18"/>
          <w:szCs w:val="18"/>
        </w:rPr>
        <w:t>ROP</w:t>
      </w:r>
      <w:r w:rsidR="00B50305">
        <w:rPr>
          <w:rFonts w:eastAsia="Times New Roman" w:cs="Times New Roman"/>
          <w:sz w:val="18"/>
          <w:szCs w:val="18"/>
        </w:rPr>
        <w:t>)</w:t>
      </w:r>
      <w:r w:rsidR="005C2F7A" w:rsidRPr="00B42743">
        <w:rPr>
          <w:rFonts w:eastAsia="Times New Roman" w:cs="Times New Roman"/>
          <w:sz w:val="18"/>
          <w:szCs w:val="18"/>
        </w:rPr>
        <w:t xml:space="preserve"> (1%) in </w:t>
      </w:r>
      <w:r w:rsidRPr="00B42743">
        <w:rPr>
          <w:rFonts w:eastAsia="Times New Roman" w:cs="Times New Roman"/>
          <w:sz w:val="18"/>
          <w:szCs w:val="18"/>
        </w:rPr>
        <w:t xml:space="preserve">different </w:t>
      </w:r>
      <w:proofErr w:type="spellStart"/>
      <w:r w:rsidR="00B50305">
        <w:rPr>
          <w:rFonts w:eastAsia="Times New Roman" w:cs="Times New Roman"/>
          <w:sz w:val="18"/>
          <w:szCs w:val="18"/>
        </w:rPr>
        <w:t>different</w:t>
      </w:r>
      <w:proofErr w:type="spellEnd"/>
      <w:r w:rsidR="00B50305">
        <w:rPr>
          <w:rFonts w:eastAsia="Times New Roman" w:cs="Times New Roman"/>
          <w:sz w:val="18"/>
          <w:szCs w:val="18"/>
        </w:rPr>
        <w:t xml:space="preserve"> concentrations</w:t>
      </w:r>
      <w:r w:rsidR="005C2F7A" w:rsidRPr="00B42743">
        <w:rPr>
          <w:rFonts w:eastAsia="Times New Roman" w:cs="Times New Roman"/>
          <w:sz w:val="18"/>
          <w:szCs w:val="18"/>
        </w:rPr>
        <w:t xml:space="preserve"> </w:t>
      </w:r>
      <w:r w:rsidR="00B50305">
        <w:rPr>
          <w:rFonts w:eastAsia="Times New Roman" w:cs="Times New Roman"/>
          <w:sz w:val="18"/>
          <w:szCs w:val="18"/>
        </w:rPr>
        <w:t>(0.5</w:t>
      </w:r>
      <w:proofErr w:type="gramStart"/>
      <w:r w:rsidR="00B50305">
        <w:rPr>
          <w:rFonts w:eastAsia="Times New Roman" w:cs="Times New Roman"/>
          <w:sz w:val="18"/>
          <w:szCs w:val="18"/>
        </w:rPr>
        <w:t>,1.0</w:t>
      </w:r>
      <w:proofErr w:type="gramEnd"/>
      <w:r w:rsidR="00B50305">
        <w:rPr>
          <w:rFonts w:eastAsia="Times New Roman" w:cs="Times New Roman"/>
          <w:sz w:val="18"/>
          <w:szCs w:val="18"/>
        </w:rPr>
        <w:t>, and1.5)%</w:t>
      </w:r>
      <w:r w:rsidR="005C2F7A" w:rsidRPr="00B42743">
        <w:rPr>
          <w:rFonts w:eastAsia="Times New Roman" w:cs="Times New Roman"/>
          <w:sz w:val="18"/>
          <w:szCs w:val="18"/>
        </w:rPr>
        <w:t>. 2- The evaluations of all formulations (F1 to F</w:t>
      </w:r>
      <w:r w:rsidR="00B50305">
        <w:rPr>
          <w:rFonts w:eastAsia="Times New Roman" w:cs="Times New Roman"/>
          <w:sz w:val="18"/>
          <w:szCs w:val="18"/>
        </w:rPr>
        <w:t>3</w:t>
      </w:r>
      <w:r w:rsidR="005C2F7A" w:rsidRPr="00B42743">
        <w:rPr>
          <w:rFonts w:eastAsia="Times New Roman" w:cs="Times New Roman"/>
          <w:sz w:val="18"/>
          <w:szCs w:val="18"/>
        </w:rPr>
        <w:t xml:space="preserve">) were done on different parameters like pH, </w:t>
      </w:r>
      <w:r w:rsidR="00B50305" w:rsidRPr="00B42743">
        <w:rPr>
          <w:rFonts w:eastAsia="Times New Roman" w:cs="Times New Roman"/>
          <w:sz w:val="18"/>
          <w:szCs w:val="18"/>
        </w:rPr>
        <w:t>Viscosity</w:t>
      </w:r>
      <w:r w:rsidR="005C2F7A" w:rsidRPr="00B42743">
        <w:rPr>
          <w:rFonts w:eastAsia="Times New Roman" w:cs="Times New Roman"/>
          <w:sz w:val="18"/>
          <w:szCs w:val="18"/>
        </w:rPr>
        <w:t xml:space="preserve">, </w:t>
      </w:r>
      <w:r w:rsidR="00536866" w:rsidRPr="00B42743">
        <w:rPr>
          <w:rFonts w:eastAsia="Times New Roman" w:cs="Times New Roman"/>
          <w:sz w:val="18"/>
          <w:szCs w:val="18"/>
        </w:rPr>
        <w:t>good consistency, homogeneity, appearance</w:t>
      </w:r>
      <w:r w:rsidR="00536866" w:rsidRPr="00B42743">
        <w:rPr>
          <w:rFonts w:eastAsia="Times New Roman" w:cs="Times New Roman"/>
          <w:sz w:val="18"/>
          <w:szCs w:val="18"/>
        </w:rPr>
        <w:t xml:space="preserve"> </w:t>
      </w:r>
      <w:proofErr w:type="spellStart"/>
      <w:r w:rsidR="00267090" w:rsidRPr="00B42743">
        <w:rPr>
          <w:rFonts w:eastAsia="Times New Roman" w:cs="Times New Roman"/>
          <w:sz w:val="18"/>
          <w:szCs w:val="18"/>
        </w:rPr>
        <w:t>spreadibilty</w:t>
      </w:r>
      <w:proofErr w:type="spellEnd"/>
      <w:r w:rsidR="005C2F7A" w:rsidRPr="00B42743">
        <w:rPr>
          <w:rFonts w:eastAsia="Times New Roman" w:cs="Times New Roman"/>
          <w:sz w:val="18"/>
          <w:szCs w:val="18"/>
        </w:rPr>
        <w:t xml:space="preserve"> and stability. </w:t>
      </w:r>
      <w:r w:rsidR="00B50305">
        <w:rPr>
          <w:rFonts w:eastAsia="Times New Roman" w:cs="Times New Roman"/>
          <w:sz w:val="18"/>
          <w:szCs w:val="18"/>
        </w:rPr>
        <w:t>All</w:t>
      </w:r>
      <w:r w:rsidR="00267090" w:rsidRPr="00B42743">
        <w:rPr>
          <w:rFonts w:eastAsia="Times New Roman" w:cs="Times New Roman"/>
          <w:sz w:val="18"/>
          <w:szCs w:val="18"/>
        </w:rPr>
        <w:t xml:space="preserve"> formulations</w:t>
      </w:r>
      <w:r w:rsidR="00267090" w:rsidRPr="00B33E11">
        <w:rPr>
          <w:rFonts w:eastAsia="Times New Roman" w:cs="Times New Roman"/>
          <w:sz w:val="18"/>
          <w:szCs w:val="18"/>
        </w:rPr>
        <w:t xml:space="preserve"> </w:t>
      </w:r>
      <w:r w:rsidR="005C2F7A" w:rsidRPr="00B42743">
        <w:rPr>
          <w:rFonts w:eastAsia="Times New Roman" w:cs="Times New Roman"/>
          <w:sz w:val="18"/>
          <w:szCs w:val="18"/>
        </w:rPr>
        <w:t>shows no redness, edema, inflammation and irritation during irritancy</w:t>
      </w:r>
      <w:r w:rsidR="00BF30AE" w:rsidRPr="00B42743">
        <w:rPr>
          <w:rFonts w:eastAsia="Times New Roman" w:cs="Times New Roman"/>
          <w:sz w:val="18"/>
          <w:szCs w:val="18"/>
        </w:rPr>
        <w:t xml:space="preserve">. However, </w:t>
      </w:r>
      <w:r w:rsidR="00B50305">
        <w:rPr>
          <w:rFonts w:eastAsia="Times New Roman" w:cs="Times New Roman"/>
          <w:sz w:val="18"/>
          <w:szCs w:val="18"/>
        </w:rPr>
        <w:t>formulation</w:t>
      </w:r>
      <w:r w:rsidR="00BF30AE" w:rsidRPr="00B42743">
        <w:rPr>
          <w:rFonts w:eastAsia="Times New Roman" w:cs="Times New Roman"/>
          <w:sz w:val="18"/>
          <w:szCs w:val="18"/>
        </w:rPr>
        <w:t xml:space="preserve"> F</w:t>
      </w:r>
      <w:r w:rsidR="00B50305">
        <w:rPr>
          <w:rFonts w:eastAsia="Times New Roman" w:cs="Times New Roman"/>
          <w:sz w:val="18"/>
          <w:szCs w:val="18"/>
        </w:rPr>
        <w:t xml:space="preserve">3 was </w:t>
      </w:r>
      <w:r w:rsidR="00BF30AE" w:rsidRPr="00B42743">
        <w:rPr>
          <w:rFonts w:eastAsia="Times New Roman" w:cs="Times New Roman"/>
          <w:sz w:val="18"/>
          <w:szCs w:val="18"/>
        </w:rPr>
        <w:t>slightly better than</w:t>
      </w:r>
      <w:r w:rsidR="00B50305">
        <w:rPr>
          <w:rFonts w:eastAsia="Times New Roman" w:cs="Times New Roman"/>
          <w:sz w:val="18"/>
          <w:szCs w:val="18"/>
        </w:rPr>
        <w:t xml:space="preserve"> the other formulations</w:t>
      </w:r>
      <w:r w:rsidR="00FC1F1D" w:rsidRPr="00B42743">
        <w:rPr>
          <w:rFonts w:eastAsia="Times New Roman" w:cs="Times New Roman"/>
          <w:sz w:val="18"/>
          <w:szCs w:val="18"/>
        </w:rPr>
        <w:t xml:space="preserve"> in the extent of photo protection, permeabil</w:t>
      </w:r>
      <w:r w:rsidR="001118D0">
        <w:rPr>
          <w:rFonts w:eastAsia="Times New Roman" w:cs="Times New Roman"/>
          <w:sz w:val="18"/>
          <w:szCs w:val="18"/>
        </w:rPr>
        <w:t>ity and moisturizing abilities</w:t>
      </w:r>
      <w:r w:rsidR="001118D0" w:rsidRPr="001118D0">
        <w:rPr>
          <w:sz w:val="18"/>
          <w:szCs w:val="18"/>
        </w:rPr>
        <w:t xml:space="preserve"> </w:t>
      </w:r>
      <w:r w:rsidR="001118D0" w:rsidRPr="00B42743">
        <w:rPr>
          <w:sz w:val="18"/>
          <w:szCs w:val="18"/>
        </w:rPr>
        <w:t>[</w:t>
      </w:r>
      <w:r w:rsidR="001118D0">
        <w:rPr>
          <w:sz w:val="18"/>
          <w:szCs w:val="18"/>
        </w:rPr>
        <w:t>5</w:t>
      </w:r>
      <w:r w:rsidR="001118D0" w:rsidRPr="00B42743">
        <w:rPr>
          <w:sz w:val="18"/>
          <w:szCs w:val="18"/>
        </w:rPr>
        <w:t>].</w:t>
      </w:r>
    </w:p>
    <w:p w:rsidR="00CE6417" w:rsidRPr="00B42743" w:rsidRDefault="00B50305" w:rsidP="00B33E11">
      <w:pPr>
        <w:widowControl/>
        <w:autoSpaceDE w:val="0"/>
        <w:autoSpaceDN w:val="0"/>
        <w:adjustRightInd w:val="0"/>
        <w:jc w:val="both"/>
        <w:rPr>
          <w:rFonts w:eastAsia="Times New Roman" w:cs="Times New Roman"/>
          <w:sz w:val="18"/>
          <w:szCs w:val="18"/>
        </w:rPr>
      </w:pPr>
      <w:r>
        <w:rPr>
          <w:rFonts w:eastAsia="Times New Roman" w:cs="Times New Roman"/>
          <w:sz w:val="18"/>
          <w:szCs w:val="18"/>
        </w:rPr>
        <w:t>Rose hip oil (ROP) in 1%</w:t>
      </w:r>
      <w:r w:rsidR="00267090" w:rsidRPr="00B42743">
        <w:rPr>
          <w:rFonts w:eastAsia="Times New Roman" w:cs="Times New Roman"/>
          <w:sz w:val="18"/>
          <w:szCs w:val="18"/>
        </w:rPr>
        <w:t xml:space="preserve"> formulations </w:t>
      </w:r>
      <w:r w:rsidR="00FC1F1D" w:rsidRPr="00B42743">
        <w:rPr>
          <w:rFonts w:eastAsia="Times New Roman" w:cs="Times New Roman"/>
          <w:sz w:val="18"/>
          <w:szCs w:val="18"/>
        </w:rPr>
        <w:t>were</w:t>
      </w:r>
      <w:r>
        <w:rPr>
          <w:rFonts w:eastAsia="Times New Roman" w:cs="Times New Roman"/>
          <w:sz w:val="18"/>
          <w:szCs w:val="18"/>
        </w:rPr>
        <w:t xml:space="preserve"> </w:t>
      </w:r>
      <w:r w:rsidR="00D90423" w:rsidRPr="00B42743">
        <w:rPr>
          <w:rFonts w:eastAsia="Times New Roman" w:cs="Times New Roman"/>
          <w:sz w:val="18"/>
          <w:szCs w:val="18"/>
        </w:rPr>
        <w:t>efficient, stable and safe to use for skin as a multipurpose</w:t>
      </w:r>
      <w:r w:rsidR="00FC1F1D" w:rsidRPr="00B42743">
        <w:rPr>
          <w:rFonts w:eastAsia="Times New Roman" w:cs="Times New Roman"/>
          <w:sz w:val="18"/>
          <w:szCs w:val="18"/>
        </w:rPr>
        <w:t xml:space="preserve"> cosmetic </w:t>
      </w:r>
      <w:r w:rsidR="00D90423" w:rsidRPr="00B42743">
        <w:rPr>
          <w:rFonts w:eastAsia="Times New Roman" w:cs="Times New Roman"/>
          <w:sz w:val="18"/>
          <w:szCs w:val="18"/>
        </w:rPr>
        <w:t xml:space="preserve">product in skin hydration, sun protection, </w:t>
      </w:r>
      <w:r w:rsidR="005B7BBB" w:rsidRPr="00B42743">
        <w:rPr>
          <w:rFonts w:eastAsia="Times New Roman" w:cs="Times New Roman"/>
          <w:sz w:val="18"/>
          <w:szCs w:val="18"/>
        </w:rPr>
        <w:t xml:space="preserve">anti-aging and </w:t>
      </w:r>
      <w:r w:rsidRPr="00B42743">
        <w:rPr>
          <w:rFonts w:eastAsia="Times New Roman" w:cs="Times New Roman"/>
          <w:sz w:val="18"/>
          <w:szCs w:val="18"/>
        </w:rPr>
        <w:t>rejuvenating product</w:t>
      </w:r>
      <w:r w:rsidR="005B7BBB" w:rsidRPr="00B42743">
        <w:rPr>
          <w:rFonts w:eastAsia="Times New Roman" w:cs="Times New Roman"/>
          <w:sz w:val="18"/>
          <w:szCs w:val="18"/>
        </w:rPr>
        <w:t xml:space="preserve">. </w:t>
      </w:r>
      <w:r w:rsidR="00BF30AE" w:rsidRPr="00B42743">
        <w:rPr>
          <w:rFonts w:eastAsia="Times New Roman" w:cs="Times New Roman"/>
          <w:sz w:val="18"/>
          <w:szCs w:val="18"/>
        </w:rPr>
        <w:t xml:space="preserve">According to the findings this study is promising to further clinical studies. </w:t>
      </w:r>
    </w:p>
    <w:p w:rsidR="00603407" w:rsidRDefault="00603407" w:rsidP="00603407">
      <w:pPr>
        <w:spacing w:line="204" w:lineRule="exact"/>
        <w:rPr>
          <w:b/>
          <w:color w:val="BF5A14"/>
          <w:sz w:val="18"/>
          <w:szCs w:val="18"/>
        </w:rPr>
      </w:pPr>
    </w:p>
    <w:p w:rsidR="00603407" w:rsidRPr="007C2D68" w:rsidRDefault="00603407" w:rsidP="00536866">
      <w:pPr>
        <w:spacing w:line="204" w:lineRule="exact"/>
        <w:rPr>
          <w:b/>
          <w:color w:val="BF5A14"/>
          <w:sz w:val="18"/>
          <w:szCs w:val="18"/>
        </w:rPr>
      </w:pPr>
      <w:r w:rsidRPr="007C2D68">
        <w:rPr>
          <w:b/>
          <w:color w:val="BF5A14"/>
          <w:sz w:val="18"/>
          <w:szCs w:val="18"/>
        </w:rPr>
        <w:t xml:space="preserve">Biography </w:t>
      </w:r>
    </w:p>
    <w:p w:rsidR="00057EF1" w:rsidRPr="00DF5536" w:rsidRDefault="00536866" w:rsidP="00057EF1">
      <w:pPr>
        <w:pStyle w:val="BodyText"/>
        <w:spacing w:before="3"/>
        <w:rPr>
          <w:rFonts w:ascii="Arial"/>
          <w:sz w:val="14"/>
          <w:szCs w:val="22"/>
        </w:rPr>
      </w:pPr>
      <w:r w:rsidRPr="00536866">
        <w:rPr>
          <w:rFonts w:ascii="Arial"/>
          <w:noProof/>
          <w:sz w:val="14"/>
          <w:szCs w:val="22"/>
        </w:rPr>
        <w:drawing>
          <wp:inline distT="0" distB="0" distL="0" distR="0">
            <wp:extent cx="477585" cy="4889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8889" cy="500523"/>
                    </a:xfrm>
                    <a:prstGeom prst="rect">
                      <a:avLst/>
                    </a:prstGeom>
                    <a:noFill/>
                    <a:ln>
                      <a:noFill/>
                    </a:ln>
                  </pic:spPr>
                </pic:pic>
              </a:graphicData>
            </a:graphic>
          </wp:inline>
        </w:drawing>
      </w:r>
      <w:r w:rsidR="00057EF1" w:rsidRPr="001B7235">
        <w:rPr>
          <w:rFonts w:ascii="Arial"/>
          <w:sz w:val="14"/>
          <w:szCs w:val="22"/>
        </w:rPr>
        <w:t xml:space="preserve">Prof. </w:t>
      </w:r>
      <w:proofErr w:type="spellStart"/>
      <w:r w:rsidR="00057EF1" w:rsidRPr="001B7235">
        <w:rPr>
          <w:rFonts w:ascii="Arial"/>
          <w:sz w:val="14"/>
          <w:szCs w:val="22"/>
        </w:rPr>
        <w:t>Heyam</w:t>
      </w:r>
      <w:proofErr w:type="spellEnd"/>
      <w:r w:rsidR="00057EF1" w:rsidRPr="001B7235">
        <w:rPr>
          <w:rFonts w:ascii="Arial"/>
          <w:sz w:val="14"/>
          <w:szCs w:val="22"/>
        </w:rPr>
        <w:t xml:space="preserve"> </w:t>
      </w:r>
      <w:proofErr w:type="spellStart"/>
      <w:r w:rsidR="00057EF1">
        <w:rPr>
          <w:rFonts w:ascii="Arial"/>
          <w:sz w:val="14"/>
          <w:szCs w:val="22"/>
        </w:rPr>
        <w:t>Saad</w:t>
      </w:r>
      <w:proofErr w:type="spellEnd"/>
      <w:r w:rsidR="00057EF1">
        <w:rPr>
          <w:rFonts w:ascii="Arial"/>
          <w:sz w:val="14"/>
          <w:szCs w:val="22"/>
        </w:rPr>
        <w:t xml:space="preserve"> Ali </w:t>
      </w:r>
      <w:r w:rsidR="00057EF1" w:rsidRPr="001B7235">
        <w:rPr>
          <w:rFonts w:ascii="Arial"/>
          <w:sz w:val="14"/>
          <w:szCs w:val="22"/>
        </w:rPr>
        <w:t xml:space="preserve">has completed her PhD from Bradford University, UK. She is Head of Pharmaceutics Department, Dubai Pharmacy College, </w:t>
      </w:r>
      <w:proofErr w:type="gramStart"/>
      <w:r w:rsidR="00057EF1" w:rsidRPr="001B7235">
        <w:rPr>
          <w:rFonts w:ascii="Arial"/>
          <w:sz w:val="14"/>
          <w:szCs w:val="22"/>
        </w:rPr>
        <w:t>UAE</w:t>
      </w:r>
      <w:proofErr w:type="gramEnd"/>
      <w:r w:rsidR="00057EF1" w:rsidRPr="001B7235">
        <w:rPr>
          <w:rFonts w:ascii="Arial"/>
          <w:sz w:val="14"/>
          <w:szCs w:val="22"/>
        </w:rPr>
        <w:t>.</w:t>
      </w:r>
      <w:r w:rsidR="00057EF1" w:rsidRPr="001A1A3D">
        <w:rPr>
          <w:rFonts w:ascii="Arial"/>
          <w:sz w:val="14"/>
          <w:szCs w:val="22"/>
        </w:rPr>
        <w:t xml:space="preserve"> She has teaching and research experience of about 2</w:t>
      </w:r>
      <w:r w:rsidR="00057EF1">
        <w:rPr>
          <w:rFonts w:ascii="Arial"/>
          <w:sz w:val="14"/>
          <w:szCs w:val="22"/>
        </w:rPr>
        <w:t>5</w:t>
      </w:r>
      <w:r w:rsidR="00057EF1" w:rsidRPr="001A1A3D">
        <w:rPr>
          <w:rFonts w:ascii="Arial"/>
          <w:sz w:val="14"/>
          <w:szCs w:val="22"/>
        </w:rPr>
        <w:t xml:space="preserve"> years</w:t>
      </w:r>
      <w:r w:rsidR="00057EF1">
        <w:rPr>
          <w:rFonts w:ascii="Arial"/>
          <w:sz w:val="14"/>
          <w:szCs w:val="22"/>
        </w:rPr>
        <w:t xml:space="preserve">. </w:t>
      </w:r>
      <w:r w:rsidR="00057EF1" w:rsidRPr="001B7235">
        <w:rPr>
          <w:rFonts w:ascii="Arial"/>
          <w:sz w:val="14"/>
          <w:szCs w:val="22"/>
        </w:rPr>
        <w:t xml:space="preserve"> She has published more than 44 papers in reputed journals and has been serving as an editorial board member of</w:t>
      </w:r>
      <w:r w:rsidR="00057EF1">
        <w:rPr>
          <w:rFonts w:ascii="Arial"/>
          <w:sz w:val="14"/>
          <w:szCs w:val="22"/>
        </w:rPr>
        <w:t xml:space="preserve"> several</w:t>
      </w:r>
      <w:r w:rsidR="00057EF1" w:rsidRPr="001B7235">
        <w:rPr>
          <w:rFonts w:ascii="Arial"/>
          <w:sz w:val="14"/>
          <w:szCs w:val="22"/>
        </w:rPr>
        <w:t xml:space="preserve"> pharmaceutical Journals</w:t>
      </w:r>
      <w:r w:rsidR="00057EF1">
        <w:rPr>
          <w:rFonts w:ascii="Arial"/>
          <w:sz w:val="14"/>
          <w:szCs w:val="22"/>
        </w:rPr>
        <w:t>. She is a member of various pharmaceutical associations.</w:t>
      </w:r>
      <w:r w:rsidR="00057EF1" w:rsidRPr="001B7235">
        <w:rPr>
          <w:rFonts w:ascii="Arial"/>
          <w:sz w:val="14"/>
          <w:szCs w:val="22"/>
        </w:rPr>
        <w:t xml:space="preserve"> In addition to attending more than 40 training courses, conferences and seminars in Quality Assurance systems.</w:t>
      </w:r>
      <w:r w:rsidR="00057EF1" w:rsidRPr="00DF5536">
        <w:rPr>
          <w:rFonts w:ascii="Arial"/>
          <w:sz w:val="14"/>
          <w:szCs w:val="22"/>
        </w:rPr>
        <w:t xml:space="preserve"> </w:t>
      </w:r>
    </w:p>
    <w:p w:rsidR="00057EF1" w:rsidRPr="00DF5536" w:rsidRDefault="00057EF1" w:rsidP="00057EF1">
      <w:pPr>
        <w:pStyle w:val="BodyText"/>
        <w:spacing w:before="3"/>
        <w:rPr>
          <w:rFonts w:ascii="Arial"/>
          <w:sz w:val="14"/>
          <w:szCs w:val="22"/>
        </w:rPr>
      </w:pPr>
      <w:r w:rsidRPr="001B7235">
        <w:rPr>
          <w:rFonts w:ascii="Arial"/>
          <w:sz w:val="14"/>
          <w:szCs w:val="22"/>
        </w:rPr>
        <w:t xml:space="preserve">Prof. </w:t>
      </w:r>
      <w:proofErr w:type="spellStart"/>
      <w:proofErr w:type="gramStart"/>
      <w:r w:rsidRPr="001B7235">
        <w:rPr>
          <w:rFonts w:ascii="Arial"/>
          <w:sz w:val="14"/>
          <w:szCs w:val="22"/>
        </w:rPr>
        <w:t>Heyam</w:t>
      </w:r>
      <w:proofErr w:type="spellEnd"/>
      <w:r w:rsidRPr="001B7235">
        <w:rPr>
          <w:rFonts w:ascii="Arial"/>
          <w:sz w:val="14"/>
          <w:szCs w:val="22"/>
        </w:rPr>
        <w:t xml:space="preserve"> 's</w:t>
      </w:r>
      <w:proofErr w:type="gramEnd"/>
      <w:r w:rsidRPr="001B7235">
        <w:rPr>
          <w:rFonts w:ascii="Arial"/>
          <w:sz w:val="14"/>
          <w:szCs w:val="22"/>
        </w:rPr>
        <w:t xml:space="preserve"> expertise ranges from  Preformulation, Product formulation, product testing and Stability, Quality Control, Assurance and GMP processes, validation</w:t>
      </w:r>
      <w:r w:rsidRPr="00DF5536">
        <w:rPr>
          <w:rFonts w:ascii="Arial"/>
          <w:sz w:val="14"/>
          <w:szCs w:val="22"/>
        </w:rPr>
        <w:t xml:space="preserve"> in </w:t>
      </w:r>
      <w:r w:rsidRPr="001B7235">
        <w:rPr>
          <w:rFonts w:ascii="Arial"/>
          <w:sz w:val="14"/>
          <w:szCs w:val="22"/>
        </w:rPr>
        <w:t>Pharmaceutical development of conventional dosage forms</w:t>
      </w:r>
      <w:r>
        <w:rPr>
          <w:rFonts w:ascii="Arial"/>
          <w:sz w:val="14"/>
          <w:szCs w:val="22"/>
        </w:rPr>
        <w:t>.</w:t>
      </w:r>
    </w:p>
    <w:p w:rsidR="00603407" w:rsidRPr="007C2D68" w:rsidRDefault="00603407" w:rsidP="00603407">
      <w:pPr>
        <w:pStyle w:val="NormalWeb"/>
        <w:spacing w:before="0" w:beforeAutospacing="0" w:after="0" w:afterAutospacing="0"/>
        <w:jc w:val="both"/>
        <w:rPr>
          <w:rFonts w:ascii="Tw Cen MT" w:hAnsi="Tw Cen MT"/>
          <w:sz w:val="18"/>
          <w:szCs w:val="18"/>
        </w:rPr>
      </w:pPr>
      <w:r w:rsidRPr="007C2D68">
        <w:rPr>
          <w:rFonts w:ascii="Tw Cen MT" w:hAnsi="Tw Cen MT"/>
          <w:sz w:val="18"/>
          <w:szCs w:val="18"/>
        </w:rPr>
        <w:t>.</w:t>
      </w:r>
    </w:p>
    <w:p w:rsidR="00603407" w:rsidRPr="007C2D68" w:rsidRDefault="00603407" w:rsidP="00057EF1">
      <w:pPr>
        <w:pStyle w:val="NormalWeb"/>
        <w:spacing w:before="0" w:beforeAutospacing="0" w:after="0" w:afterAutospacing="0"/>
        <w:jc w:val="both"/>
        <w:rPr>
          <w:rFonts w:ascii="Tw Cen MT" w:hAnsi="Tw Cen MT"/>
          <w:sz w:val="18"/>
          <w:szCs w:val="18"/>
        </w:rPr>
      </w:pPr>
      <w:r w:rsidRPr="007C2D68">
        <w:rPr>
          <w:rFonts w:ascii="Tw Cen MT" w:hAnsi="Tw Cen MT"/>
          <w:sz w:val="18"/>
          <w:szCs w:val="18"/>
        </w:rPr>
        <w:t xml:space="preserve">Email: </w:t>
      </w:r>
      <w:hyperlink r:id="rId11" w:history="1">
        <w:r w:rsidR="00030E5C" w:rsidRPr="00255C95">
          <w:rPr>
            <w:rStyle w:val="Hyperlink"/>
            <w:rFonts w:ascii="Tw Cen MT" w:hAnsi="Tw Cen MT"/>
            <w:sz w:val="18"/>
            <w:szCs w:val="18"/>
          </w:rPr>
          <w:t>heyam57@hotmail.com</w:t>
        </w:r>
      </w:hyperlink>
    </w:p>
    <w:p w:rsidR="00603407" w:rsidRDefault="00A57378" w:rsidP="00A57378">
      <w:pPr>
        <w:pStyle w:val="NormalWeb"/>
        <w:spacing w:before="0" w:beforeAutospacing="0" w:after="0" w:afterAutospacing="0"/>
        <w:jc w:val="both"/>
        <w:rPr>
          <w:rFonts w:ascii="Tw Cen MT" w:hAnsi="Tw Cen MT"/>
          <w:b/>
          <w:bCs/>
          <w:sz w:val="20"/>
          <w:szCs w:val="20"/>
        </w:rPr>
      </w:pPr>
      <w:r>
        <w:rPr>
          <w:rFonts w:ascii="Tw Cen MT" w:hAnsi="Tw Cen MT"/>
          <w:b/>
          <w:bCs/>
          <w:sz w:val="20"/>
          <w:szCs w:val="20"/>
        </w:rPr>
        <w:t>Notes/Comments</w:t>
      </w:r>
    </w:p>
    <w:p w:rsidR="00A57378" w:rsidRDefault="00A57378" w:rsidP="00A57378">
      <w:pPr>
        <w:pStyle w:val="NormalWeb"/>
        <w:spacing w:before="0" w:beforeAutospacing="0" w:after="0" w:afterAutospacing="0"/>
        <w:jc w:val="both"/>
        <w:rPr>
          <w:rFonts w:ascii="Tw Cen MT" w:hAnsi="Tw Cen MT"/>
          <w:b/>
          <w:bCs/>
          <w:sz w:val="20"/>
          <w:szCs w:val="20"/>
        </w:rPr>
      </w:pPr>
    </w:p>
    <w:p w:rsidR="00A57378" w:rsidRDefault="00A57378" w:rsidP="00A57378">
      <w:pPr>
        <w:pStyle w:val="NormalWeb"/>
        <w:spacing w:before="0" w:beforeAutospacing="0" w:after="0" w:afterAutospacing="0"/>
        <w:jc w:val="both"/>
        <w:rPr>
          <w:rFonts w:ascii="Tw Cen MT" w:hAnsi="Tw Cen MT"/>
          <w:b/>
          <w:bCs/>
          <w:sz w:val="20"/>
          <w:szCs w:val="20"/>
        </w:rPr>
      </w:pPr>
    </w:p>
    <w:p w:rsidR="00A57378" w:rsidRDefault="00A57378" w:rsidP="00A57378">
      <w:pPr>
        <w:pStyle w:val="NormalWeb"/>
        <w:spacing w:before="0" w:beforeAutospacing="0" w:after="0" w:afterAutospacing="0"/>
        <w:jc w:val="both"/>
        <w:rPr>
          <w:rFonts w:ascii="Tw Cen MT" w:hAnsi="Tw Cen MT"/>
          <w:b/>
          <w:bCs/>
          <w:sz w:val="20"/>
          <w:szCs w:val="20"/>
        </w:rPr>
      </w:pPr>
    </w:p>
    <w:p w:rsidR="00A57378" w:rsidRDefault="00A57378" w:rsidP="00A57378">
      <w:pPr>
        <w:pStyle w:val="NormalWeb"/>
        <w:spacing w:before="0" w:beforeAutospacing="0" w:after="0" w:afterAutospacing="0"/>
        <w:jc w:val="both"/>
        <w:rPr>
          <w:rFonts w:ascii="Tw Cen MT" w:hAnsi="Tw Cen MT"/>
          <w:b/>
          <w:bCs/>
          <w:sz w:val="20"/>
          <w:szCs w:val="20"/>
        </w:rPr>
      </w:pPr>
    </w:p>
    <w:p w:rsidR="00A57378" w:rsidRDefault="00A57378" w:rsidP="00A57378">
      <w:pPr>
        <w:pStyle w:val="NormalWeb"/>
        <w:spacing w:before="0" w:beforeAutospacing="0" w:after="0" w:afterAutospacing="0"/>
        <w:jc w:val="both"/>
        <w:rPr>
          <w:rFonts w:ascii="Tw Cen MT" w:hAnsi="Tw Cen MT"/>
          <w:b/>
          <w:bCs/>
          <w:sz w:val="20"/>
          <w:szCs w:val="20"/>
        </w:rPr>
      </w:pPr>
    </w:p>
    <w:p w:rsidR="00806EEA" w:rsidRDefault="00806EEA" w:rsidP="00A57378">
      <w:pPr>
        <w:pStyle w:val="NormalWeb"/>
        <w:spacing w:before="0" w:beforeAutospacing="0" w:after="0" w:afterAutospacing="0"/>
        <w:jc w:val="both"/>
        <w:rPr>
          <w:rFonts w:ascii="Tw Cen MT" w:hAnsi="Tw Cen MT"/>
          <w:b/>
          <w:bCs/>
          <w:sz w:val="20"/>
          <w:szCs w:val="20"/>
        </w:rPr>
      </w:pPr>
    </w:p>
    <w:p w:rsidR="00806EEA" w:rsidRDefault="00806EEA" w:rsidP="00A57378">
      <w:pPr>
        <w:pStyle w:val="NormalWeb"/>
        <w:spacing w:before="0" w:beforeAutospacing="0" w:after="0" w:afterAutospacing="0"/>
        <w:jc w:val="both"/>
        <w:rPr>
          <w:rFonts w:ascii="Tw Cen MT" w:hAnsi="Tw Cen MT"/>
          <w:b/>
          <w:bCs/>
          <w:sz w:val="20"/>
          <w:szCs w:val="20"/>
        </w:rPr>
      </w:pPr>
    </w:p>
    <w:p w:rsidR="00A57378" w:rsidRDefault="00A57378" w:rsidP="00A57378">
      <w:pPr>
        <w:pStyle w:val="NormalWeb"/>
        <w:spacing w:before="0" w:beforeAutospacing="0" w:after="0" w:afterAutospacing="0"/>
        <w:jc w:val="both"/>
        <w:rPr>
          <w:rFonts w:ascii="Tw Cen MT" w:hAnsi="Tw Cen MT"/>
          <w:b/>
          <w:bCs/>
          <w:sz w:val="20"/>
          <w:szCs w:val="20"/>
        </w:rPr>
      </w:pPr>
    </w:p>
    <w:p w:rsidR="00A57378" w:rsidRDefault="00A57378" w:rsidP="00A57378">
      <w:pPr>
        <w:pStyle w:val="NormalWeb"/>
        <w:spacing w:before="0" w:beforeAutospacing="0" w:after="0" w:afterAutospacing="0"/>
        <w:jc w:val="both"/>
        <w:rPr>
          <w:rFonts w:ascii="Tw Cen MT" w:hAnsi="Tw Cen MT"/>
          <w:b/>
          <w:bCs/>
          <w:sz w:val="20"/>
          <w:szCs w:val="20"/>
        </w:rPr>
      </w:pPr>
    </w:p>
    <w:p w:rsidR="00A57378" w:rsidRDefault="00A57378" w:rsidP="00A57378">
      <w:pPr>
        <w:pStyle w:val="NormalWeb"/>
        <w:spacing w:before="0" w:beforeAutospacing="0" w:after="0" w:afterAutospacing="0"/>
        <w:jc w:val="both"/>
        <w:rPr>
          <w:rFonts w:ascii="Tw Cen MT" w:hAnsi="Tw Cen MT"/>
          <w:b/>
          <w:bCs/>
          <w:sz w:val="20"/>
          <w:szCs w:val="20"/>
        </w:rPr>
      </w:pPr>
    </w:p>
    <w:p w:rsidR="00A57378" w:rsidRDefault="00A57378" w:rsidP="00A57378">
      <w:pPr>
        <w:pStyle w:val="NormalWeb"/>
        <w:spacing w:before="0" w:beforeAutospacing="0" w:after="0" w:afterAutospacing="0"/>
        <w:jc w:val="both"/>
        <w:rPr>
          <w:rFonts w:ascii="Tw Cen MT" w:hAnsi="Tw Cen MT"/>
          <w:b/>
          <w:bCs/>
          <w:sz w:val="20"/>
          <w:szCs w:val="20"/>
        </w:rPr>
      </w:pPr>
    </w:p>
    <w:p w:rsidR="00796374" w:rsidRDefault="00796374" w:rsidP="00A57378">
      <w:pPr>
        <w:pStyle w:val="NormalWeb"/>
        <w:spacing w:before="0" w:beforeAutospacing="0" w:after="0" w:afterAutospacing="0"/>
        <w:jc w:val="both"/>
        <w:rPr>
          <w:rFonts w:ascii="Tw Cen MT" w:hAnsi="Tw Cen MT"/>
          <w:b/>
          <w:bCs/>
          <w:sz w:val="20"/>
          <w:szCs w:val="20"/>
        </w:rPr>
      </w:pPr>
    </w:p>
    <w:p w:rsidR="00796374" w:rsidRDefault="00796374" w:rsidP="00A57378">
      <w:pPr>
        <w:pStyle w:val="NormalWeb"/>
        <w:spacing w:before="0" w:beforeAutospacing="0" w:after="0" w:afterAutospacing="0"/>
        <w:jc w:val="both"/>
        <w:rPr>
          <w:rFonts w:ascii="Tw Cen MT" w:hAnsi="Tw Cen MT"/>
          <w:b/>
          <w:bCs/>
          <w:sz w:val="20"/>
          <w:szCs w:val="20"/>
        </w:rPr>
      </w:pPr>
    </w:p>
    <w:p w:rsidR="00806EEA" w:rsidRDefault="00806EEA" w:rsidP="00603407">
      <w:pPr>
        <w:pStyle w:val="NormalWeb"/>
        <w:spacing w:before="0" w:beforeAutospacing="0" w:after="0" w:afterAutospacing="0"/>
        <w:jc w:val="both"/>
        <w:rPr>
          <w:rFonts w:ascii="Tw Cen MT" w:hAnsi="Tw Cen MT"/>
          <w:b/>
          <w:bCs/>
          <w:sz w:val="20"/>
          <w:szCs w:val="20"/>
        </w:rPr>
      </w:pPr>
    </w:p>
    <w:p w:rsidR="000239CB" w:rsidRDefault="000239CB" w:rsidP="00603407">
      <w:pPr>
        <w:pStyle w:val="NormalWeb"/>
        <w:spacing w:before="0" w:beforeAutospacing="0" w:after="0" w:afterAutospacing="0"/>
        <w:jc w:val="both"/>
        <w:rPr>
          <w:rFonts w:ascii="Tw Cen MT" w:hAnsi="Tw Cen MT"/>
          <w:b/>
          <w:bCs/>
          <w:sz w:val="20"/>
          <w:szCs w:val="20"/>
        </w:rPr>
      </w:pPr>
    </w:p>
    <w:p w:rsidR="00796374" w:rsidRDefault="00796374" w:rsidP="00603407">
      <w:pPr>
        <w:pStyle w:val="NormalWeb"/>
        <w:spacing w:before="0" w:beforeAutospacing="0" w:after="0" w:afterAutospacing="0"/>
        <w:jc w:val="both"/>
        <w:rPr>
          <w:rFonts w:ascii="Tw Cen MT" w:hAnsi="Tw Cen MT"/>
          <w:b/>
          <w:bCs/>
          <w:sz w:val="20"/>
          <w:szCs w:val="20"/>
        </w:rPr>
      </w:pPr>
    </w:p>
    <w:p w:rsidR="00796374" w:rsidRDefault="00796374" w:rsidP="00603407">
      <w:pPr>
        <w:pStyle w:val="NormalWeb"/>
        <w:spacing w:before="0" w:beforeAutospacing="0" w:after="0" w:afterAutospacing="0"/>
        <w:jc w:val="both"/>
        <w:rPr>
          <w:rFonts w:ascii="Tw Cen MT" w:hAnsi="Tw Cen MT"/>
          <w:b/>
          <w:bCs/>
          <w:sz w:val="20"/>
          <w:szCs w:val="20"/>
        </w:rPr>
      </w:pPr>
    </w:p>
    <w:p w:rsidR="00796374" w:rsidRDefault="00796374" w:rsidP="00603407">
      <w:pPr>
        <w:pStyle w:val="NormalWeb"/>
        <w:spacing w:before="0" w:beforeAutospacing="0" w:after="0" w:afterAutospacing="0"/>
        <w:jc w:val="both"/>
        <w:rPr>
          <w:rFonts w:ascii="Tw Cen MT" w:hAnsi="Tw Cen MT"/>
          <w:b/>
          <w:bCs/>
          <w:sz w:val="20"/>
          <w:szCs w:val="20"/>
        </w:rPr>
      </w:pPr>
    </w:p>
    <w:p w:rsidR="00796374" w:rsidRDefault="00796374" w:rsidP="00603407">
      <w:pPr>
        <w:pStyle w:val="NormalWeb"/>
        <w:spacing w:before="0" w:beforeAutospacing="0" w:after="0" w:afterAutospacing="0"/>
        <w:jc w:val="both"/>
        <w:rPr>
          <w:rFonts w:ascii="Tw Cen MT" w:hAnsi="Tw Cen MT"/>
          <w:b/>
          <w:bCs/>
          <w:sz w:val="20"/>
          <w:szCs w:val="20"/>
        </w:rPr>
      </w:pPr>
    </w:p>
    <w:tbl>
      <w:tblPr>
        <w:tblStyle w:val="TableGrid"/>
        <w:tblW w:w="2472"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55"/>
        <w:gridCol w:w="546"/>
        <w:gridCol w:w="662"/>
        <w:gridCol w:w="869"/>
        <w:gridCol w:w="393"/>
        <w:gridCol w:w="426"/>
        <w:gridCol w:w="361"/>
        <w:gridCol w:w="419"/>
      </w:tblGrid>
      <w:tr w:rsidR="00F846A2" w:rsidRPr="00603407" w:rsidTr="00C01B88">
        <w:trPr>
          <w:cantSplit/>
          <w:jc w:val="center"/>
        </w:trPr>
        <w:tc>
          <w:tcPr>
            <w:tcW w:w="5000" w:type="pct"/>
            <w:gridSpan w:val="8"/>
          </w:tcPr>
          <w:p w:rsidR="00F846A2" w:rsidRPr="00C01B88" w:rsidRDefault="00F846A2" w:rsidP="00F846A2">
            <w:pPr>
              <w:ind w:left="0" w:right="0" w:firstLine="0"/>
              <w:jc w:val="left"/>
              <w:rPr>
                <w:rFonts w:ascii="Calibri" w:eastAsia="Calibri" w:hAnsi="Calibri" w:cs="Calibri"/>
                <w:b/>
                <w:bCs/>
                <w:sz w:val="16"/>
                <w:szCs w:val="16"/>
              </w:rPr>
            </w:pPr>
            <w:r w:rsidRPr="00C01B88">
              <w:rPr>
                <w:rFonts w:ascii="Calibri" w:eastAsia="Calibri" w:hAnsi="Calibri" w:cs="Calibri"/>
                <w:b/>
                <w:bCs/>
                <w:sz w:val="16"/>
                <w:szCs w:val="16"/>
              </w:rPr>
              <w:t>Table-1 Physical Properties</w:t>
            </w:r>
          </w:p>
        </w:tc>
      </w:tr>
      <w:tr w:rsidR="00C01B88" w:rsidRPr="00603407" w:rsidTr="00C01B88">
        <w:trPr>
          <w:cantSplit/>
          <w:jc w:val="center"/>
        </w:trPr>
        <w:tc>
          <w:tcPr>
            <w:tcW w:w="667" w:type="pct"/>
          </w:tcPr>
          <w:p w:rsidR="00806EEA" w:rsidRPr="00C01B88" w:rsidRDefault="00806EEA" w:rsidP="00492FF9">
            <w:pPr>
              <w:ind w:left="0" w:right="0" w:firstLine="0"/>
              <w:jc w:val="left"/>
              <w:rPr>
                <w:rFonts w:ascii="Calibri" w:eastAsia="Calibri" w:hAnsi="Calibri" w:cs="Calibri"/>
                <w:b/>
                <w:bCs/>
                <w:sz w:val="16"/>
                <w:szCs w:val="16"/>
                <w:lang w:bidi="ar-SA"/>
              </w:rPr>
            </w:pPr>
            <w:r w:rsidRPr="00C01B88">
              <w:rPr>
                <w:rFonts w:ascii="Calibri" w:eastAsia="Calibri" w:hAnsi="Calibri" w:cs="Calibri"/>
                <w:b/>
                <w:bCs/>
                <w:sz w:val="16"/>
                <w:szCs w:val="16"/>
                <w:lang w:bidi="ar-SA"/>
              </w:rPr>
              <w:t>Codes</w:t>
            </w:r>
          </w:p>
        </w:tc>
        <w:tc>
          <w:tcPr>
            <w:tcW w:w="402" w:type="pct"/>
          </w:tcPr>
          <w:p w:rsidR="00806EEA" w:rsidRPr="00C01B88" w:rsidRDefault="00806EEA" w:rsidP="00F46C5A">
            <w:pPr>
              <w:ind w:left="0" w:right="0" w:firstLine="0"/>
              <w:jc w:val="left"/>
              <w:rPr>
                <w:rFonts w:ascii="Calibri" w:eastAsia="Calibri" w:hAnsi="Calibri" w:cs="Calibri"/>
                <w:b/>
                <w:bCs/>
                <w:sz w:val="16"/>
                <w:szCs w:val="16"/>
                <w:lang w:bidi="ar-SA"/>
              </w:rPr>
            </w:pPr>
            <w:r w:rsidRPr="00C01B88">
              <w:rPr>
                <w:rFonts w:ascii="Calibri" w:eastAsia="Calibri" w:hAnsi="Calibri" w:cs="Calibri"/>
                <w:b/>
                <w:bCs/>
                <w:sz w:val="16"/>
                <w:szCs w:val="16"/>
                <w:lang w:bidi="ar-SA"/>
              </w:rPr>
              <w:t xml:space="preserve">Time Sec. </w:t>
            </w:r>
          </w:p>
        </w:tc>
        <w:tc>
          <w:tcPr>
            <w:tcW w:w="632" w:type="pct"/>
          </w:tcPr>
          <w:p w:rsidR="00806EEA" w:rsidRPr="00C01B88" w:rsidRDefault="00796374" w:rsidP="00806EEA">
            <w:pPr>
              <w:ind w:left="0" w:right="0" w:firstLine="0"/>
              <w:jc w:val="left"/>
              <w:rPr>
                <w:rFonts w:ascii="Calibri" w:eastAsia="Calibri" w:hAnsi="Calibri" w:cs="Calibri"/>
                <w:b/>
                <w:bCs/>
                <w:sz w:val="16"/>
                <w:szCs w:val="16"/>
                <w:lang w:bidi="ar-SA"/>
              </w:rPr>
            </w:pPr>
            <w:r w:rsidRPr="00C01B88">
              <w:rPr>
                <w:rFonts w:ascii="Calibri" w:eastAsia="Calibri" w:hAnsi="Calibri" w:cs="Calibri"/>
                <w:b/>
                <w:bCs/>
                <w:sz w:val="16"/>
                <w:szCs w:val="16"/>
                <w:lang w:bidi="ar-SA"/>
              </w:rPr>
              <w:t>V</w:t>
            </w:r>
          </w:p>
        </w:tc>
        <w:tc>
          <w:tcPr>
            <w:tcW w:w="727" w:type="pct"/>
          </w:tcPr>
          <w:p w:rsidR="0049316E" w:rsidRPr="00C01B88" w:rsidRDefault="00796374" w:rsidP="0049316E">
            <w:pPr>
              <w:ind w:left="0" w:right="0" w:firstLine="0"/>
              <w:jc w:val="center"/>
              <w:rPr>
                <w:rFonts w:ascii="Calibri" w:eastAsia="Calibri" w:hAnsi="Calibri" w:cs="Calibri"/>
                <w:b/>
                <w:bCs/>
                <w:sz w:val="16"/>
                <w:szCs w:val="16"/>
                <w:lang w:bidi="ar-SA"/>
              </w:rPr>
            </w:pPr>
            <w:r w:rsidRPr="00C01B88">
              <w:rPr>
                <w:rFonts w:ascii="Calibri" w:eastAsia="Calibri" w:hAnsi="Calibri" w:cs="Calibri"/>
                <w:b/>
                <w:bCs/>
                <w:sz w:val="16"/>
                <w:szCs w:val="16"/>
                <w:lang w:bidi="ar-SA"/>
              </w:rPr>
              <w:t>SP</w:t>
            </w:r>
          </w:p>
          <w:p w:rsidR="00806EEA" w:rsidRPr="00C01B88" w:rsidRDefault="0049316E" w:rsidP="00F846A2">
            <w:pPr>
              <w:ind w:left="0" w:right="0" w:firstLine="0"/>
              <w:jc w:val="left"/>
              <w:rPr>
                <w:rFonts w:ascii="Calibri" w:eastAsia="Calibri" w:hAnsi="Calibri" w:cs="Calibri"/>
                <w:b/>
                <w:bCs/>
                <w:sz w:val="16"/>
                <w:szCs w:val="16"/>
                <w:lang w:bidi="ar-SA"/>
              </w:rPr>
            </w:pPr>
            <w:r w:rsidRPr="00C01B88">
              <w:rPr>
                <w:rFonts w:ascii="Calibri" w:eastAsia="Calibri" w:hAnsi="Calibri" w:cs="Calibri"/>
                <w:b/>
                <w:bCs/>
                <w:sz w:val="16"/>
                <w:szCs w:val="16"/>
                <w:lang w:bidi="ar-SA"/>
              </w:rPr>
              <w:t>(</w:t>
            </w:r>
            <w:proofErr w:type="spellStart"/>
            <w:r w:rsidRPr="00C01B88">
              <w:rPr>
                <w:rFonts w:ascii="Calibri" w:eastAsia="Calibri" w:hAnsi="Calibri" w:cs="Calibri"/>
                <w:b/>
                <w:bCs/>
                <w:sz w:val="16"/>
                <w:szCs w:val="16"/>
                <w:lang w:bidi="ar-SA"/>
              </w:rPr>
              <w:t>g</w:t>
            </w:r>
            <w:r w:rsidR="00806EEA" w:rsidRPr="00C01B88">
              <w:rPr>
                <w:rFonts w:ascii="Calibri" w:eastAsia="Calibri" w:hAnsi="Calibri" w:cs="Calibri"/>
                <w:b/>
                <w:bCs/>
                <w:sz w:val="16"/>
                <w:szCs w:val="16"/>
                <w:lang w:bidi="ar-SA"/>
              </w:rPr>
              <w:t>cm</w:t>
            </w:r>
            <w:proofErr w:type="spellEnd"/>
            <w:r w:rsidR="00806EEA" w:rsidRPr="00C01B88">
              <w:rPr>
                <w:rFonts w:ascii="Calibri" w:eastAsia="Calibri" w:hAnsi="Calibri" w:cs="Calibri"/>
                <w:b/>
                <w:bCs/>
                <w:sz w:val="16"/>
                <w:szCs w:val="16"/>
                <w:lang w:bidi="ar-SA"/>
              </w:rPr>
              <w:t>/sec)</w:t>
            </w:r>
          </w:p>
        </w:tc>
        <w:tc>
          <w:tcPr>
            <w:tcW w:w="548" w:type="pct"/>
          </w:tcPr>
          <w:p w:rsidR="00806EEA" w:rsidRPr="00C01B88" w:rsidRDefault="00796374" w:rsidP="00A57378">
            <w:pPr>
              <w:ind w:left="0" w:right="0" w:firstLine="0"/>
              <w:jc w:val="left"/>
              <w:rPr>
                <w:rFonts w:ascii="Calibri" w:eastAsia="Calibri" w:hAnsi="Calibri" w:cs="Calibri"/>
                <w:b/>
                <w:bCs/>
                <w:sz w:val="16"/>
                <w:szCs w:val="16"/>
                <w:lang w:bidi="ar-SA"/>
              </w:rPr>
            </w:pPr>
            <w:r w:rsidRPr="00C01B88">
              <w:rPr>
                <w:rFonts w:ascii="Calibri" w:eastAsia="Calibri" w:hAnsi="Calibri" w:cs="Calibri"/>
                <w:b/>
                <w:bCs/>
                <w:sz w:val="16"/>
                <w:szCs w:val="16"/>
                <w:lang w:bidi="ar-SA"/>
              </w:rPr>
              <w:t>S</w:t>
            </w:r>
          </w:p>
        </w:tc>
        <w:tc>
          <w:tcPr>
            <w:tcW w:w="610" w:type="pct"/>
          </w:tcPr>
          <w:p w:rsidR="00806EEA" w:rsidRPr="00C01B88" w:rsidRDefault="00796374" w:rsidP="00A57378">
            <w:pPr>
              <w:ind w:left="0" w:right="0" w:firstLine="0"/>
              <w:jc w:val="left"/>
              <w:rPr>
                <w:rFonts w:ascii="Calibri" w:eastAsia="Calibri" w:hAnsi="Calibri" w:cs="Calibri"/>
                <w:b/>
                <w:bCs/>
                <w:sz w:val="16"/>
                <w:szCs w:val="16"/>
                <w:lang w:bidi="ar-SA"/>
              </w:rPr>
            </w:pPr>
            <w:r w:rsidRPr="00C01B88">
              <w:rPr>
                <w:rFonts w:ascii="Calibri" w:eastAsia="Calibri" w:hAnsi="Calibri" w:cs="Calibri"/>
                <w:b/>
                <w:bCs/>
                <w:sz w:val="16"/>
                <w:szCs w:val="16"/>
                <w:lang w:bidi="ar-SA"/>
              </w:rPr>
              <w:t>CH</w:t>
            </w:r>
          </w:p>
        </w:tc>
        <w:tc>
          <w:tcPr>
            <w:tcW w:w="487" w:type="pct"/>
          </w:tcPr>
          <w:p w:rsidR="00806EEA" w:rsidRPr="00C01B88" w:rsidRDefault="00796374" w:rsidP="00A57378">
            <w:pPr>
              <w:ind w:left="0" w:right="0" w:firstLine="0"/>
              <w:jc w:val="left"/>
              <w:rPr>
                <w:rFonts w:ascii="Calibri" w:eastAsia="Calibri" w:hAnsi="Calibri" w:cs="Calibri"/>
                <w:b/>
                <w:bCs/>
                <w:sz w:val="16"/>
                <w:szCs w:val="16"/>
                <w:lang w:bidi="ar-SA"/>
              </w:rPr>
            </w:pPr>
            <w:r w:rsidRPr="00C01B88">
              <w:rPr>
                <w:rFonts w:ascii="Calibri" w:eastAsia="Calibri" w:hAnsi="Calibri" w:cs="Calibri"/>
                <w:b/>
                <w:bCs/>
                <w:sz w:val="16"/>
                <w:szCs w:val="16"/>
                <w:lang w:bidi="ar-SA"/>
              </w:rPr>
              <w:t>W</w:t>
            </w:r>
          </w:p>
        </w:tc>
        <w:tc>
          <w:tcPr>
            <w:tcW w:w="927" w:type="pct"/>
          </w:tcPr>
          <w:p w:rsidR="00806EEA" w:rsidRPr="00C01B88" w:rsidRDefault="00806EEA" w:rsidP="00A57378">
            <w:pPr>
              <w:ind w:left="0" w:right="0" w:firstLine="0"/>
              <w:jc w:val="left"/>
              <w:rPr>
                <w:rFonts w:ascii="Calibri" w:eastAsia="Calibri" w:hAnsi="Calibri" w:cs="Calibri"/>
                <w:b/>
                <w:bCs/>
                <w:sz w:val="16"/>
                <w:szCs w:val="16"/>
                <w:lang w:bidi="ar-SA"/>
              </w:rPr>
            </w:pPr>
            <w:r w:rsidRPr="00C01B88">
              <w:rPr>
                <w:rFonts w:ascii="Calibri" w:eastAsia="Calibri" w:hAnsi="Calibri" w:cs="Calibri"/>
                <w:b/>
                <w:bCs/>
                <w:sz w:val="16"/>
                <w:szCs w:val="16"/>
                <w:lang w:bidi="ar-SA"/>
              </w:rPr>
              <w:t>pH</w:t>
            </w:r>
          </w:p>
        </w:tc>
      </w:tr>
      <w:tr w:rsidR="00C01B88" w:rsidRPr="00603407" w:rsidTr="00C01B88">
        <w:trPr>
          <w:cantSplit/>
          <w:jc w:val="center"/>
        </w:trPr>
        <w:tc>
          <w:tcPr>
            <w:tcW w:w="667" w:type="pct"/>
          </w:tcPr>
          <w:p w:rsidR="00806EEA" w:rsidRPr="00603407" w:rsidRDefault="00806EEA" w:rsidP="004C1995">
            <w:pPr>
              <w:ind w:left="0" w:right="0" w:firstLine="0"/>
              <w:jc w:val="left"/>
              <w:rPr>
                <w:rFonts w:ascii="Calibri" w:eastAsia="Calibri" w:hAnsi="Calibri" w:cs="Calibri"/>
                <w:sz w:val="16"/>
                <w:szCs w:val="16"/>
                <w:lang w:bidi="ar-SA"/>
              </w:rPr>
            </w:pPr>
            <w:r w:rsidRPr="00603407">
              <w:rPr>
                <w:rFonts w:ascii="Calibri" w:eastAsia="Calibri" w:hAnsi="Calibri" w:cs="Calibri"/>
                <w:sz w:val="16"/>
                <w:szCs w:val="16"/>
                <w:lang w:bidi="ar-SA"/>
              </w:rPr>
              <w:t>F1</w:t>
            </w:r>
            <w:r w:rsidR="004C1995">
              <w:rPr>
                <w:rFonts w:ascii="Calibri" w:eastAsia="Calibri" w:hAnsi="Calibri" w:cs="Calibri"/>
                <w:sz w:val="16"/>
                <w:szCs w:val="16"/>
                <w:lang w:bidi="ar-SA"/>
              </w:rPr>
              <w:t xml:space="preserve"> </w:t>
            </w:r>
          </w:p>
        </w:tc>
        <w:tc>
          <w:tcPr>
            <w:tcW w:w="402" w:type="pct"/>
          </w:tcPr>
          <w:p w:rsidR="00806EEA" w:rsidRPr="00603407" w:rsidRDefault="00806EEA" w:rsidP="00806EEA">
            <w:pPr>
              <w:ind w:left="0" w:right="0" w:firstLine="0"/>
              <w:jc w:val="left"/>
              <w:rPr>
                <w:rFonts w:ascii="Calibri" w:eastAsia="Calibri" w:hAnsi="Calibri" w:cs="Calibri"/>
                <w:sz w:val="16"/>
                <w:szCs w:val="16"/>
                <w:lang w:bidi="ar-SA"/>
              </w:rPr>
            </w:pPr>
            <w:r w:rsidRPr="00603407">
              <w:rPr>
                <w:rFonts w:ascii="Calibri" w:eastAsia="Calibri" w:hAnsi="Calibri" w:cs="Calibri"/>
                <w:sz w:val="16"/>
                <w:szCs w:val="16"/>
                <w:lang w:bidi="ar-SA"/>
              </w:rPr>
              <w:t>11</w:t>
            </w:r>
          </w:p>
        </w:tc>
        <w:tc>
          <w:tcPr>
            <w:tcW w:w="632" w:type="pct"/>
          </w:tcPr>
          <w:p w:rsidR="00806EEA" w:rsidRPr="00603407" w:rsidRDefault="00806EEA" w:rsidP="00806EEA">
            <w:pPr>
              <w:ind w:left="0" w:right="0" w:firstLine="0"/>
              <w:jc w:val="left"/>
              <w:rPr>
                <w:rFonts w:ascii="Calibri" w:eastAsia="Calibri" w:hAnsi="Calibri" w:cs="Calibri"/>
                <w:sz w:val="16"/>
                <w:szCs w:val="16"/>
                <w:lang w:bidi="ar-SA"/>
              </w:rPr>
            </w:pPr>
            <w:r>
              <w:rPr>
                <w:rFonts w:ascii="Calibri" w:eastAsia="Calibri" w:hAnsi="Calibri" w:cs="Calibri"/>
                <w:sz w:val="16"/>
                <w:szCs w:val="16"/>
                <w:lang w:bidi="ar-SA"/>
              </w:rPr>
              <w:t>63</w:t>
            </w:r>
            <w:r w:rsidRPr="00603407">
              <w:rPr>
                <w:rFonts w:ascii="Calibri" w:eastAsia="Calibri" w:hAnsi="Calibri" w:cs="Calibri"/>
                <w:sz w:val="16"/>
                <w:szCs w:val="16"/>
                <w:lang w:bidi="ar-SA"/>
              </w:rPr>
              <w:t>2.</w:t>
            </w:r>
            <w:r>
              <w:rPr>
                <w:rFonts w:ascii="Calibri" w:eastAsia="Calibri" w:hAnsi="Calibri" w:cs="Calibri"/>
                <w:sz w:val="16"/>
                <w:szCs w:val="16"/>
                <w:lang w:bidi="ar-SA"/>
              </w:rPr>
              <w:t>5</w:t>
            </w:r>
            <w:r w:rsidRPr="00603407">
              <w:rPr>
                <w:rFonts w:ascii="Calibri" w:eastAsia="Calibri" w:hAnsi="Calibri" w:cs="Calibri"/>
                <w:sz w:val="16"/>
                <w:szCs w:val="16"/>
                <w:lang w:bidi="ar-SA"/>
              </w:rPr>
              <w:t>8</w:t>
            </w:r>
          </w:p>
        </w:tc>
        <w:tc>
          <w:tcPr>
            <w:tcW w:w="727" w:type="pct"/>
          </w:tcPr>
          <w:p w:rsidR="00806EEA" w:rsidRPr="00603407" w:rsidRDefault="00806EEA" w:rsidP="00806EEA">
            <w:pPr>
              <w:ind w:left="0" w:right="0" w:firstLine="0"/>
              <w:jc w:val="left"/>
              <w:rPr>
                <w:rFonts w:ascii="Calibri" w:eastAsia="Calibri" w:hAnsi="Calibri" w:cs="Calibri"/>
                <w:sz w:val="16"/>
                <w:szCs w:val="16"/>
                <w:lang w:bidi="ar-SA"/>
              </w:rPr>
            </w:pPr>
            <w:r w:rsidRPr="00603407">
              <w:rPr>
                <w:rFonts w:ascii="Calibri" w:eastAsia="Calibri" w:hAnsi="Calibri" w:cs="Calibri"/>
                <w:sz w:val="16"/>
                <w:szCs w:val="16"/>
                <w:lang w:bidi="ar-SA"/>
              </w:rPr>
              <w:t>12.78</w:t>
            </w:r>
          </w:p>
        </w:tc>
        <w:tc>
          <w:tcPr>
            <w:tcW w:w="548" w:type="pct"/>
          </w:tcPr>
          <w:p w:rsidR="00806EEA" w:rsidRPr="00603407" w:rsidRDefault="00806EEA" w:rsidP="00806EEA">
            <w:pPr>
              <w:ind w:left="0" w:right="0" w:firstLine="0"/>
              <w:jc w:val="left"/>
              <w:rPr>
                <w:rFonts w:ascii="Calibri" w:eastAsia="Calibri" w:hAnsi="Calibri" w:cs="Calibri"/>
                <w:sz w:val="16"/>
                <w:szCs w:val="16"/>
                <w:lang w:bidi="ar-SA"/>
              </w:rPr>
            </w:pPr>
            <w:r>
              <w:rPr>
                <w:rFonts w:ascii="Calibri" w:eastAsia="Calibri" w:hAnsi="Calibri" w:cs="Calibri"/>
                <w:sz w:val="16"/>
                <w:szCs w:val="16"/>
                <w:lang w:bidi="ar-SA"/>
              </w:rPr>
              <w:t>NS</w:t>
            </w:r>
          </w:p>
        </w:tc>
        <w:tc>
          <w:tcPr>
            <w:tcW w:w="610" w:type="pct"/>
          </w:tcPr>
          <w:p w:rsidR="00806EEA" w:rsidRPr="00A57378" w:rsidRDefault="00806EEA" w:rsidP="00806EEA">
            <w:pPr>
              <w:ind w:left="0" w:right="0" w:firstLine="0"/>
              <w:jc w:val="left"/>
              <w:rPr>
                <w:rFonts w:ascii="Calibri" w:eastAsia="Calibri" w:hAnsi="Calibri" w:cs="Calibri"/>
                <w:sz w:val="16"/>
                <w:szCs w:val="16"/>
                <w:lang w:bidi="ar-SA"/>
              </w:rPr>
            </w:pPr>
            <w:r w:rsidRPr="009C1527">
              <w:rPr>
                <w:rFonts w:ascii="Calibri" w:eastAsia="Calibri" w:hAnsi="Calibri" w:cs="Calibri"/>
                <w:sz w:val="16"/>
                <w:szCs w:val="16"/>
                <w:lang w:bidi="ar-SA"/>
              </w:rPr>
              <w:t>NO</w:t>
            </w:r>
          </w:p>
        </w:tc>
        <w:tc>
          <w:tcPr>
            <w:tcW w:w="487" w:type="pct"/>
          </w:tcPr>
          <w:p w:rsidR="00806EEA" w:rsidRPr="00603407" w:rsidRDefault="00806EEA" w:rsidP="00806EEA">
            <w:pPr>
              <w:ind w:left="0" w:right="0" w:firstLine="0"/>
              <w:jc w:val="left"/>
              <w:rPr>
                <w:rFonts w:ascii="Calibri" w:eastAsia="Calibri" w:hAnsi="Calibri" w:cs="Calibri"/>
                <w:sz w:val="16"/>
                <w:szCs w:val="16"/>
                <w:lang w:bidi="ar-SA"/>
              </w:rPr>
            </w:pPr>
            <w:r>
              <w:rPr>
                <w:rFonts w:ascii="Calibri" w:eastAsia="Calibri" w:hAnsi="Calibri" w:cs="Calibri"/>
                <w:sz w:val="16"/>
                <w:szCs w:val="16"/>
                <w:lang w:bidi="ar-SA"/>
              </w:rPr>
              <w:t>W</w:t>
            </w:r>
          </w:p>
        </w:tc>
        <w:tc>
          <w:tcPr>
            <w:tcW w:w="927" w:type="pct"/>
          </w:tcPr>
          <w:p w:rsidR="00806EEA" w:rsidRPr="00603407" w:rsidRDefault="00806EEA" w:rsidP="00806EEA">
            <w:pPr>
              <w:ind w:left="0" w:right="0" w:firstLine="0"/>
              <w:jc w:val="left"/>
              <w:rPr>
                <w:rFonts w:ascii="Calibri" w:eastAsia="Calibri" w:hAnsi="Calibri" w:cs="Calibri"/>
                <w:sz w:val="16"/>
                <w:szCs w:val="16"/>
                <w:lang w:bidi="ar-SA"/>
              </w:rPr>
            </w:pPr>
            <w:r w:rsidRPr="00603407">
              <w:rPr>
                <w:rFonts w:ascii="Calibri" w:eastAsia="Calibri" w:hAnsi="Calibri" w:cs="Calibri"/>
                <w:sz w:val="16"/>
                <w:szCs w:val="16"/>
                <w:lang w:bidi="ar-SA"/>
              </w:rPr>
              <w:t>5.9</w:t>
            </w:r>
          </w:p>
        </w:tc>
      </w:tr>
      <w:tr w:rsidR="00C01B88" w:rsidRPr="00603407" w:rsidTr="00C01B88">
        <w:trPr>
          <w:cantSplit/>
          <w:jc w:val="center"/>
        </w:trPr>
        <w:tc>
          <w:tcPr>
            <w:tcW w:w="667" w:type="pct"/>
          </w:tcPr>
          <w:p w:rsidR="00806EEA" w:rsidRPr="00603407" w:rsidRDefault="00806EEA" w:rsidP="004C1995">
            <w:pPr>
              <w:ind w:left="0" w:right="0" w:firstLine="0"/>
              <w:jc w:val="left"/>
              <w:rPr>
                <w:rFonts w:ascii="Calibri" w:eastAsia="Calibri" w:hAnsi="Calibri" w:cs="Calibri"/>
                <w:sz w:val="16"/>
                <w:szCs w:val="16"/>
                <w:lang w:bidi="ar-SA"/>
              </w:rPr>
            </w:pPr>
            <w:r w:rsidRPr="00603407">
              <w:rPr>
                <w:rFonts w:ascii="Calibri" w:eastAsia="Calibri" w:hAnsi="Calibri" w:cs="Calibri"/>
                <w:sz w:val="16"/>
                <w:szCs w:val="16"/>
                <w:lang w:bidi="ar-SA"/>
              </w:rPr>
              <w:t>F2</w:t>
            </w:r>
            <w:r>
              <w:rPr>
                <w:rFonts w:ascii="Calibri" w:eastAsia="Calibri" w:hAnsi="Calibri" w:cs="Calibri"/>
                <w:sz w:val="16"/>
                <w:szCs w:val="16"/>
                <w:lang w:bidi="ar-SA"/>
              </w:rPr>
              <w:t xml:space="preserve"> </w:t>
            </w:r>
          </w:p>
        </w:tc>
        <w:tc>
          <w:tcPr>
            <w:tcW w:w="402" w:type="pct"/>
          </w:tcPr>
          <w:p w:rsidR="00806EEA" w:rsidRPr="00603407" w:rsidRDefault="00806EEA" w:rsidP="00806EEA">
            <w:pPr>
              <w:ind w:left="0" w:right="0" w:firstLine="0"/>
              <w:jc w:val="left"/>
              <w:rPr>
                <w:rFonts w:ascii="Calibri" w:eastAsia="Calibri" w:hAnsi="Calibri" w:cs="Calibri"/>
                <w:sz w:val="16"/>
                <w:szCs w:val="16"/>
                <w:lang w:bidi="ar-SA"/>
              </w:rPr>
            </w:pPr>
            <w:r w:rsidRPr="00603407">
              <w:rPr>
                <w:rFonts w:ascii="Calibri" w:eastAsia="Calibri" w:hAnsi="Calibri" w:cs="Calibri"/>
                <w:sz w:val="16"/>
                <w:szCs w:val="16"/>
                <w:lang w:bidi="ar-SA"/>
              </w:rPr>
              <w:t>10</w:t>
            </w:r>
          </w:p>
        </w:tc>
        <w:tc>
          <w:tcPr>
            <w:tcW w:w="632" w:type="pct"/>
          </w:tcPr>
          <w:p w:rsidR="00806EEA" w:rsidRPr="00603407" w:rsidRDefault="00806EEA" w:rsidP="00806EEA">
            <w:pPr>
              <w:ind w:left="0" w:right="0" w:firstLine="0"/>
              <w:jc w:val="left"/>
              <w:rPr>
                <w:rFonts w:ascii="Calibri" w:eastAsia="Calibri" w:hAnsi="Calibri" w:cs="Calibri"/>
                <w:sz w:val="16"/>
                <w:szCs w:val="16"/>
                <w:lang w:bidi="ar-SA"/>
              </w:rPr>
            </w:pPr>
            <w:r>
              <w:rPr>
                <w:rFonts w:ascii="Calibri" w:eastAsia="Calibri" w:hAnsi="Calibri" w:cs="Calibri"/>
                <w:sz w:val="16"/>
                <w:szCs w:val="16"/>
                <w:lang w:bidi="ar-SA"/>
              </w:rPr>
              <w:t>613</w:t>
            </w:r>
            <w:r w:rsidRPr="00603407">
              <w:rPr>
                <w:rFonts w:ascii="Calibri" w:eastAsia="Calibri" w:hAnsi="Calibri" w:cs="Calibri"/>
                <w:sz w:val="16"/>
                <w:szCs w:val="16"/>
                <w:lang w:bidi="ar-SA"/>
              </w:rPr>
              <w:t>.7</w:t>
            </w:r>
            <w:r>
              <w:rPr>
                <w:rFonts w:ascii="Calibri" w:eastAsia="Calibri" w:hAnsi="Calibri" w:cs="Calibri"/>
                <w:sz w:val="16"/>
                <w:szCs w:val="16"/>
                <w:lang w:bidi="ar-SA"/>
              </w:rPr>
              <w:t>6</w:t>
            </w:r>
          </w:p>
        </w:tc>
        <w:tc>
          <w:tcPr>
            <w:tcW w:w="727" w:type="pct"/>
          </w:tcPr>
          <w:p w:rsidR="00806EEA" w:rsidRPr="00603407" w:rsidRDefault="00806EEA" w:rsidP="00806EEA">
            <w:pPr>
              <w:ind w:left="0" w:right="0" w:firstLine="0"/>
              <w:jc w:val="left"/>
              <w:rPr>
                <w:rFonts w:ascii="Calibri" w:eastAsia="Calibri" w:hAnsi="Calibri" w:cs="Calibri"/>
                <w:sz w:val="16"/>
                <w:szCs w:val="16"/>
                <w:lang w:bidi="ar-SA"/>
              </w:rPr>
            </w:pPr>
            <w:r w:rsidRPr="00603407">
              <w:rPr>
                <w:rFonts w:ascii="Calibri" w:eastAsia="Calibri" w:hAnsi="Calibri" w:cs="Calibri"/>
                <w:sz w:val="16"/>
                <w:szCs w:val="16"/>
                <w:lang w:bidi="ar-SA"/>
              </w:rPr>
              <w:t>11.12</w:t>
            </w:r>
          </w:p>
        </w:tc>
        <w:tc>
          <w:tcPr>
            <w:tcW w:w="548" w:type="pct"/>
          </w:tcPr>
          <w:p w:rsidR="00806EEA" w:rsidRPr="00603407" w:rsidRDefault="00806EEA" w:rsidP="00806EEA">
            <w:pPr>
              <w:ind w:left="0" w:right="0" w:firstLine="0"/>
              <w:jc w:val="left"/>
              <w:rPr>
                <w:rFonts w:ascii="Calibri" w:eastAsia="Calibri" w:hAnsi="Calibri" w:cs="Calibri"/>
                <w:sz w:val="16"/>
                <w:szCs w:val="16"/>
                <w:lang w:bidi="ar-SA"/>
              </w:rPr>
            </w:pPr>
            <w:r>
              <w:rPr>
                <w:rFonts w:ascii="Calibri" w:eastAsia="Calibri" w:hAnsi="Calibri" w:cs="Calibri"/>
                <w:sz w:val="16"/>
                <w:szCs w:val="16"/>
                <w:lang w:bidi="ar-SA"/>
              </w:rPr>
              <w:t>NS</w:t>
            </w:r>
          </w:p>
        </w:tc>
        <w:tc>
          <w:tcPr>
            <w:tcW w:w="610" w:type="pct"/>
          </w:tcPr>
          <w:p w:rsidR="00806EEA" w:rsidRPr="00A57378" w:rsidRDefault="00806EEA" w:rsidP="00806EEA">
            <w:pPr>
              <w:ind w:left="0" w:right="0" w:firstLine="0"/>
              <w:jc w:val="left"/>
              <w:rPr>
                <w:rFonts w:ascii="Calibri" w:eastAsia="Calibri" w:hAnsi="Calibri" w:cs="Calibri"/>
                <w:sz w:val="16"/>
                <w:szCs w:val="16"/>
                <w:lang w:bidi="ar-SA"/>
              </w:rPr>
            </w:pPr>
            <w:r w:rsidRPr="009C1527">
              <w:rPr>
                <w:rFonts w:ascii="Calibri" w:eastAsia="Calibri" w:hAnsi="Calibri" w:cs="Calibri"/>
                <w:sz w:val="16"/>
                <w:szCs w:val="16"/>
                <w:lang w:bidi="ar-SA"/>
              </w:rPr>
              <w:t>NO</w:t>
            </w:r>
          </w:p>
        </w:tc>
        <w:tc>
          <w:tcPr>
            <w:tcW w:w="487" w:type="pct"/>
          </w:tcPr>
          <w:p w:rsidR="00806EEA" w:rsidRPr="00A57378" w:rsidRDefault="00806EEA" w:rsidP="00806EEA">
            <w:pPr>
              <w:ind w:left="0" w:right="0" w:firstLine="0"/>
              <w:jc w:val="left"/>
              <w:rPr>
                <w:rFonts w:ascii="Calibri" w:eastAsia="Calibri" w:hAnsi="Calibri" w:cs="Calibri"/>
                <w:sz w:val="16"/>
                <w:szCs w:val="16"/>
                <w:lang w:bidi="ar-SA"/>
              </w:rPr>
            </w:pPr>
            <w:r w:rsidRPr="00B6229E">
              <w:rPr>
                <w:rFonts w:ascii="Calibri" w:eastAsia="Calibri" w:hAnsi="Calibri" w:cs="Calibri"/>
                <w:sz w:val="16"/>
                <w:szCs w:val="16"/>
                <w:lang w:bidi="ar-SA"/>
              </w:rPr>
              <w:t>W</w:t>
            </w:r>
          </w:p>
        </w:tc>
        <w:tc>
          <w:tcPr>
            <w:tcW w:w="927" w:type="pct"/>
          </w:tcPr>
          <w:p w:rsidR="00806EEA" w:rsidRPr="00603407" w:rsidRDefault="00806EEA" w:rsidP="00806EEA">
            <w:pPr>
              <w:ind w:left="0" w:right="0" w:firstLine="0"/>
              <w:jc w:val="left"/>
              <w:rPr>
                <w:rFonts w:ascii="Calibri" w:eastAsia="Calibri" w:hAnsi="Calibri" w:cs="Calibri"/>
                <w:sz w:val="16"/>
                <w:szCs w:val="16"/>
                <w:lang w:bidi="ar-SA"/>
              </w:rPr>
            </w:pPr>
            <w:r w:rsidRPr="00603407">
              <w:rPr>
                <w:rFonts w:ascii="Calibri" w:eastAsia="Calibri" w:hAnsi="Calibri" w:cs="Calibri"/>
                <w:sz w:val="16"/>
                <w:szCs w:val="16"/>
                <w:lang w:bidi="ar-SA"/>
              </w:rPr>
              <w:t>5.7</w:t>
            </w:r>
          </w:p>
        </w:tc>
      </w:tr>
      <w:tr w:rsidR="00C01B88" w:rsidRPr="00603407" w:rsidTr="00C01B88">
        <w:trPr>
          <w:cantSplit/>
          <w:jc w:val="center"/>
        </w:trPr>
        <w:tc>
          <w:tcPr>
            <w:tcW w:w="667" w:type="pct"/>
          </w:tcPr>
          <w:p w:rsidR="00806EEA" w:rsidRPr="00603407" w:rsidRDefault="00806EEA" w:rsidP="004C1995">
            <w:pPr>
              <w:ind w:left="0" w:right="0" w:firstLine="0"/>
              <w:jc w:val="left"/>
              <w:rPr>
                <w:rFonts w:ascii="Calibri" w:eastAsia="Calibri" w:hAnsi="Calibri" w:cs="Calibri"/>
                <w:sz w:val="16"/>
                <w:szCs w:val="16"/>
                <w:lang w:bidi="ar-SA"/>
              </w:rPr>
            </w:pPr>
            <w:r w:rsidRPr="00603407">
              <w:rPr>
                <w:rFonts w:ascii="Calibri" w:eastAsia="Calibri" w:hAnsi="Calibri" w:cs="Calibri"/>
                <w:sz w:val="16"/>
                <w:szCs w:val="16"/>
                <w:lang w:bidi="ar-SA"/>
              </w:rPr>
              <w:t>F3</w:t>
            </w:r>
            <w:r>
              <w:rPr>
                <w:rFonts w:ascii="Calibri" w:eastAsia="Calibri" w:hAnsi="Calibri" w:cs="Calibri"/>
                <w:sz w:val="16"/>
                <w:szCs w:val="16"/>
                <w:lang w:bidi="ar-SA"/>
              </w:rPr>
              <w:t xml:space="preserve"> </w:t>
            </w:r>
          </w:p>
        </w:tc>
        <w:tc>
          <w:tcPr>
            <w:tcW w:w="402" w:type="pct"/>
          </w:tcPr>
          <w:p w:rsidR="00806EEA" w:rsidRPr="00603407" w:rsidRDefault="00806EEA" w:rsidP="00806EEA">
            <w:pPr>
              <w:ind w:left="0" w:right="0" w:firstLine="0"/>
              <w:jc w:val="left"/>
              <w:rPr>
                <w:rFonts w:ascii="Calibri" w:eastAsia="Calibri" w:hAnsi="Calibri" w:cs="Calibri"/>
                <w:sz w:val="16"/>
                <w:szCs w:val="16"/>
                <w:lang w:bidi="ar-SA"/>
              </w:rPr>
            </w:pPr>
            <w:r w:rsidRPr="00603407">
              <w:rPr>
                <w:rFonts w:ascii="Calibri" w:eastAsia="Calibri" w:hAnsi="Calibri" w:cs="Calibri"/>
                <w:sz w:val="16"/>
                <w:szCs w:val="16"/>
                <w:lang w:bidi="ar-SA"/>
              </w:rPr>
              <w:t>10</w:t>
            </w:r>
          </w:p>
        </w:tc>
        <w:tc>
          <w:tcPr>
            <w:tcW w:w="632" w:type="pct"/>
          </w:tcPr>
          <w:p w:rsidR="00806EEA" w:rsidRPr="00603407" w:rsidRDefault="00806EEA" w:rsidP="00806EEA">
            <w:pPr>
              <w:ind w:left="0" w:right="0" w:firstLine="0"/>
              <w:jc w:val="left"/>
              <w:rPr>
                <w:rFonts w:ascii="Calibri" w:eastAsia="Calibri" w:hAnsi="Calibri" w:cs="Calibri"/>
                <w:sz w:val="16"/>
                <w:szCs w:val="16"/>
                <w:lang w:bidi="ar-SA"/>
              </w:rPr>
            </w:pPr>
            <w:r>
              <w:rPr>
                <w:rFonts w:ascii="Calibri" w:eastAsia="Calibri" w:hAnsi="Calibri" w:cs="Calibri"/>
                <w:sz w:val="16"/>
                <w:szCs w:val="16"/>
                <w:lang w:bidi="ar-SA"/>
              </w:rPr>
              <w:t>6</w:t>
            </w:r>
            <w:r w:rsidRPr="00603407">
              <w:rPr>
                <w:rFonts w:ascii="Calibri" w:eastAsia="Calibri" w:hAnsi="Calibri" w:cs="Calibri"/>
                <w:sz w:val="16"/>
                <w:szCs w:val="16"/>
                <w:lang w:bidi="ar-SA"/>
              </w:rPr>
              <w:t>12.</w:t>
            </w:r>
            <w:r>
              <w:rPr>
                <w:rFonts w:ascii="Calibri" w:eastAsia="Calibri" w:hAnsi="Calibri" w:cs="Calibri"/>
                <w:sz w:val="16"/>
                <w:szCs w:val="16"/>
                <w:lang w:bidi="ar-SA"/>
              </w:rPr>
              <w:t>30</w:t>
            </w:r>
          </w:p>
        </w:tc>
        <w:tc>
          <w:tcPr>
            <w:tcW w:w="727" w:type="pct"/>
          </w:tcPr>
          <w:p w:rsidR="00806EEA" w:rsidRPr="00603407" w:rsidRDefault="00806EEA" w:rsidP="00806EEA">
            <w:pPr>
              <w:ind w:left="0" w:right="0" w:firstLine="0"/>
              <w:jc w:val="left"/>
              <w:rPr>
                <w:rFonts w:ascii="Calibri" w:eastAsia="Calibri" w:hAnsi="Calibri" w:cs="Calibri"/>
                <w:sz w:val="16"/>
                <w:szCs w:val="16"/>
                <w:lang w:bidi="ar-SA"/>
              </w:rPr>
            </w:pPr>
            <w:r w:rsidRPr="00603407">
              <w:rPr>
                <w:rFonts w:ascii="Calibri" w:eastAsia="Calibri" w:hAnsi="Calibri" w:cs="Calibri"/>
                <w:sz w:val="16"/>
                <w:szCs w:val="16"/>
                <w:lang w:bidi="ar-SA"/>
              </w:rPr>
              <w:t>10.84</w:t>
            </w:r>
          </w:p>
        </w:tc>
        <w:tc>
          <w:tcPr>
            <w:tcW w:w="548" w:type="pct"/>
          </w:tcPr>
          <w:p w:rsidR="00806EEA" w:rsidRPr="00603407" w:rsidRDefault="00806EEA" w:rsidP="00806EEA">
            <w:pPr>
              <w:ind w:left="0" w:right="0" w:firstLine="0"/>
              <w:jc w:val="left"/>
              <w:rPr>
                <w:rFonts w:ascii="Calibri" w:eastAsia="Calibri" w:hAnsi="Calibri" w:cs="Calibri"/>
                <w:sz w:val="16"/>
                <w:szCs w:val="16"/>
                <w:lang w:bidi="ar-SA"/>
              </w:rPr>
            </w:pPr>
            <w:r>
              <w:rPr>
                <w:rFonts w:ascii="Calibri" w:eastAsia="Calibri" w:hAnsi="Calibri" w:cs="Calibri"/>
                <w:sz w:val="16"/>
                <w:szCs w:val="16"/>
                <w:lang w:bidi="ar-SA"/>
              </w:rPr>
              <w:t>NS</w:t>
            </w:r>
          </w:p>
        </w:tc>
        <w:tc>
          <w:tcPr>
            <w:tcW w:w="610" w:type="pct"/>
          </w:tcPr>
          <w:p w:rsidR="00806EEA" w:rsidRPr="00A57378" w:rsidRDefault="00806EEA" w:rsidP="00806EEA">
            <w:pPr>
              <w:ind w:left="0" w:right="0" w:firstLine="0"/>
              <w:jc w:val="left"/>
              <w:rPr>
                <w:rFonts w:ascii="Calibri" w:eastAsia="Calibri" w:hAnsi="Calibri" w:cs="Calibri"/>
                <w:sz w:val="16"/>
                <w:szCs w:val="16"/>
                <w:lang w:bidi="ar-SA"/>
              </w:rPr>
            </w:pPr>
            <w:r w:rsidRPr="009C1527">
              <w:rPr>
                <w:rFonts w:ascii="Calibri" w:eastAsia="Calibri" w:hAnsi="Calibri" w:cs="Calibri"/>
                <w:sz w:val="16"/>
                <w:szCs w:val="16"/>
                <w:lang w:bidi="ar-SA"/>
              </w:rPr>
              <w:t>NO</w:t>
            </w:r>
          </w:p>
        </w:tc>
        <w:tc>
          <w:tcPr>
            <w:tcW w:w="487" w:type="pct"/>
          </w:tcPr>
          <w:p w:rsidR="00806EEA" w:rsidRPr="00A57378" w:rsidRDefault="00806EEA" w:rsidP="00806EEA">
            <w:pPr>
              <w:ind w:left="0" w:right="0" w:firstLine="0"/>
              <w:jc w:val="left"/>
              <w:rPr>
                <w:rFonts w:ascii="Calibri" w:eastAsia="Calibri" w:hAnsi="Calibri" w:cs="Calibri"/>
                <w:sz w:val="16"/>
                <w:szCs w:val="16"/>
                <w:lang w:bidi="ar-SA"/>
              </w:rPr>
            </w:pPr>
            <w:r w:rsidRPr="00B6229E">
              <w:rPr>
                <w:rFonts w:ascii="Calibri" w:eastAsia="Calibri" w:hAnsi="Calibri" w:cs="Calibri"/>
                <w:sz w:val="16"/>
                <w:szCs w:val="16"/>
                <w:lang w:bidi="ar-SA"/>
              </w:rPr>
              <w:t>W</w:t>
            </w:r>
          </w:p>
        </w:tc>
        <w:tc>
          <w:tcPr>
            <w:tcW w:w="927" w:type="pct"/>
          </w:tcPr>
          <w:p w:rsidR="00806EEA" w:rsidRPr="00603407" w:rsidRDefault="00806EEA" w:rsidP="00806EEA">
            <w:pPr>
              <w:ind w:left="0" w:right="0" w:firstLine="0"/>
              <w:jc w:val="left"/>
              <w:rPr>
                <w:rFonts w:ascii="Calibri" w:eastAsia="Calibri" w:hAnsi="Calibri" w:cs="Calibri"/>
                <w:sz w:val="16"/>
                <w:szCs w:val="16"/>
                <w:lang w:bidi="ar-SA"/>
              </w:rPr>
            </w:pPr>
            <w:r w:rsidRPr="00603407">
              <w:rPr>
                <w:rFonts w:ascii="Calibri" w:eastAsia="Calibri" w:hAnsi="Calibri" w:cs="Calibri"/>
                <w:sz w:val="16"/>
                <w:szCs w:val="16"/>
                <w:lang w:bidi="ar-SA"/>
              </w:rPr>
              <w:t>6.1</w:t>
            </w:r>
          </w:p>
        </w:tc>
      </w:tr>
      <w:tr w:rsidR="00C01B88" w:rsidRPr="00603407" w:rsidTr="00C01B88">
        <w:trPr>
          <w:cantSplit/>
          <w:jc w:val="center"/>
        </w:trPr>
        <w:tc>
          <w:tcPr>
            <w:tcW w:w="667" w:type="pct"/>
          </w:tcPr>
          <w:p w:rsidR="00806EEA" w:rsidRPr="00603407" w:rsidRDefault="00806EEA" w:rsidP="00806EEA">
            <w:pPr>
              <w:ind w:left="0" w:right="0" w:firstLine="0"/>
              <w:jc w:val="left"/>
              <w:rPr>
                <w:rFonts w:ascii="Calibri" w:eastAsia="Calibri" w:hAnsi="Calibri" w:cs="Calibri"/>
                <w:sz w:val="16"/>
                <w:szCs w:val="16"/>
                <w:lang w:bidi="ar-SA"/>
              </w:rPr>
            </w:pPr>
            <w:r>
              <w:rPr>
                <w:rFonts w:ascii="Calibri" w:eastAsia="Calibri" w:hAnsi="Calibri" w:cs="Calibri"/>
                <w:sz w:val="16"/>
                <w:szCs w:val="16"/>
                <w:lang w:bidi="ar-SA"/>
              </w:rPr>
              <w:t>Marketed</w:t>
            </w:r>
          </w:p>
        </w:tc>
        <w:tc>
          <w:tcPr>
            <w:tcW w:w="402" w:type="pct"/>
          </w:tcPr>
          <w:p w:rsidR="00806EEA" w:rsidRPr="00603407" w:rsidRDefault="00806EEA" w:rsidP="00806EEA">
            <w:pPr>
              <w:ind w:left="0" w:right="0" w:firstLine="0"/>
              <w:jc w:val="left"/>
              <w:rPr>
                <w:rFonts w:ascii="Calibri" w:eastAsia="Calibri" w:hAnsi="Calibri" w:cs="Calibri"/>
                <w:sz w:val="16"/>
                <w:szCs w:val="16"/>
                <w:lang w:bidi="ar-SA"/>
              </w:rPr>
            </w:pPr>
            <w:r w:rsidRPr="00603407">
              <w:rPr>
                <w:rFonts w:ascii="Calibri" w:eastAsia="Calibri" w:hAnsi="Calibri" w:cs="Calibri"/>
                <w:sz w:val="16"/>
                <w:szCs w:val="16"/>
                <w:lang w:bidi="ar-SA"/>
              </w:rPr>
              <w:t>9</w:t>
            </w:r>
          </w:p>
        </w:tc>
        <w:tc>
          <w:tcPr>
            <w:tcW w:w="632" w:type="pct"/>
          </w:tcPr>
          <w:p w:rsidR="00806EEA" w:rsidRPr="00603407" w:rsidRDefault="00806EEA" w:rsidP="00806EEA">
            <w:pPr>
              <w:ind w:left="0" w:right="0" w:firstLine="0"/>
              <w:jc w:val="left"/>
              <w:rPr>
                <w:rFonts w:ascii="Calibri" w:eastAsia="Calibri" w:hAnsi="Calibri" w:cs="Calibri"/>
                <w:sz w:val="16"/>
                <w:szCs w:val="16"/>
                <w:lang w:bidi="ar-SA"/>
              </w:rPr>
            </w:pPr>
            <w:r>
              <w:rPr>
                <w:rFonts w:ascii="Calibri" w:eastAsia="Calibri" w:hAnsi="Calibri" w:cs="Calibri"/>
                <w:sz w:val="16"/>
                <w:szCs w:val="16"/>
                <w:lang w:bidi="ar-SA"/>
              </w:rPr>
              <w:t>60</w:t>
            </w:r>
            <w:r w:rsidRPr="00603407">
              <w:rPr>
                <w:rFonts w:ascii="Calibri" w:eastAsia="Calibri" w:hAnsi="Calibri" w:cs="Calibri"/>
                <w:sz w:val="16"/>
                <w:szCs w:val="16"/>
                <w:lang w:bidi="ar-SA"/>
              </w:rPr>
              <w:t>2.</w:t>
            </w:r>
            <w:r>
              <w:rPr>
                <w:rFonts w:ascii="Calibri" w:eastAsia="Calibri" w:hAnsi="Calibri" w:cs="Calibri"/>
                <w:sz w:val="16"/>
                <w:szCs w:val="16"/>
                <w:lang w:bidi="ar-SA"/>
              </w:rPr>
              <w:t>35</w:t>
            </w:r>
          </w:p>
        </w:tc>
        <w:tc>
          <w:tcPr>
            <w:tcW w:w="727" w:type="pct"/>
          </w:tcPr>
          <w:p w:rsidR="00806EEA" w:rsidRPr="00603407" w:rsidRDefault="00806EEA" w:rsidP="00806EEA">
            <w:pPr>
              <w:ind w:left="0" w:right="0" w:firstLine="0"/>
              <w:jc w:val="left"/>
              <w:rPr>
                <w:rFonts w:ascii="Calibri" w:eastAsia="Calibri" w:hAnsi="Calibri" w:cs="Calibri"/>
                <w:sz w:val="16"/>
                <w:szCs w:val="16"/>
                <w:lang w:bidi="ar-SA"/>
              </w:rPr>
            </w:pPr>
            <w:r w:rsidRPr="00603407">
              <w:rPr>
                <w:rFonts w:ascii="Calibri" w:eastAsia="Calibri" w:hAnsi="Calibri" w:cs="Calibri"/>
                <w:sz w:val="16"/>
                <w:szCs w:val="16"/>
                <w:lang w:bidi="ar-SA"/>
              </w:rPr>
              <w:t>10.12</w:t>
            </w:r>
          </w:p>
        </w:tc>
        <w:tc>
          <w:tcPr>
            <w:tcW w:w="548" w:type="pct"/>
          </w:tcPr>
          <w:p w:rsidR="00806EEA" w:rsidRPr="00603407" w:rsidRDefault="00806EEA" w:rsidP="00806EEA">
            <w:pPr>
              <w:ind w:left="0" w:right="0" w:firstLine="0"/>
              <w:jc w:val="left"/>
              <w:rPr>
                <w:rFonts w:ascii="Calibri" w:eastAsia="Calibri" w:hAnsi="Calibri" w:cs="Calibri"/>
                <w:sz w:val="16"/>
                <w:szCs w:val="16"/>
                <w:lang w:bidi="ar-SA"/>
              </w:rPr>
            </w:pPr>
            <w:r>
              <w:rPr>
                <w:rFonts w:ascii="Calibri" w:eastAsia="Calibri" w:hAnsi="Calibri" w:cs="Calibri"/>
                <w:sz w:val="16"/>
                <w:szCs w:val="16"/>
                <w:lang w:bidi="ar-SA"/>
              </w:rPr>
              <w:t>NS</w:t>
            </w:r>
          </w:p>
        </w:tc>
        <w:tc>
          <w:tcPr>
            <w:tcW w:w="610" w:type="pct"/>
          </w:tcPr>
          <w:p w:rsidR="00806EEA" w:rsidRPr="00A57378" w:rsidRDefault="00806EEA" w:rsidP="00806EEA">
            <w:pPr>
              <w:ind w:left="0" w:right="0" w:firstLine="0"/>
              <w:jc w:val="left"/>
              <w:rPr>
                <w:rFonts w:ascii="Calibri" w:eastAsia="Calibri" w:hAnsi="Calibri" w:cs="Calibri"/>
                <w:sz w:val="16"/>
                <w:szCs w:val="16"/>
                <w:lang w:bidi="ar-SA"/>
              </w:rPr>
            </w:pPr>
            <w:r w:rsidRPr="009C1527">
              <w:rPr>
                <w:rFonts w:ascii="Calibri" w:eastAsia="Calibri" w:hAnsi="Calibri" w:cs="Calibri"/>
                <w:sz w:val="16"/>
                <w:szCs w:val="16"/>
                <w:lang w:bidi="ar-SA"/>
              </w:rPr>
              <w:t>NO</w:t>
            </w:r>
          </w:p>
        </w:tc>
        <w:tc>
          <w:tcPr>
            <w:tcW w:w="487" w:type="pct"/>
          </w:tcPr>
          <w:p w:rsidR="00806EEA" w:rsidRPr="00A57378" w:rsidRDefault="00806EEA" w:rsidP="00806EEA">
            <w:pPr>
              <w:ind w:left="0" w:right="0" w:firstLine="0"/>
              <w:jc w:val="left"/>
              <w:rPr>
                <w:rFonts w:ascii="Calibri" w:eastAsia="Calibri" w:hAnsi="Calibri" w:cs="Calibri"/>
                <w:sz w:val="16"/>
                <w:szCs w:val="16"/>
                <w:lang w:bidi="ar-SA"/>
              </w:rPr>
            </w:pPr>
            <w:r w:rsidRPr="00B6229E">
              <w:rPr>
                <w:rFonts w:ascii="Calibri" w:eastAsia="Calibri" w:hAnsi="Calibri" w:cs="Calibri"/>
                <w:sz w:val="16"/>
                <w:szCs w:val="16"/>
                <w:lang w:bidi="ar-SA"/>
              </w:rPr>
              <w:t>W</w:t>
            </w:r>
          </w:p>
        </w:tc>
        <w:tc>
          <w:tcPr>
            <w:tcW w:w="927" w:type="pct"/>
          </w:tcPr>
          <w:p w:rsidR="00806EEA" w:rsidRPr="00603407" w:rsidRDefault="00806EEA" w:rsidP="00806EEA">
            <w:pPr>
              <w:ind w:left="0" w:right="0" w:firstLine="0"/>
              <w:jc w:val="left"/>
              <w:rPr>
                <w:rFonts w:ascii="Calibri" w:eastAsia="Calibri" w:hAnsi="Calibri" w:cs="Calibri"/>
                <w:sz w:val="16"/>
                <w:szCs w:val="16"/>
                <w:lang w:bidi="ar-SA"/>
              </w:rPr>
            </w:pPr>
            <w:r w:rsidRPr="00603407">
              <w:rPr>
                <w:rFonts w:ascii="Calibri" w:eastAsia="Calibri" w:hAnsi="Calibri" w:cs="Calibri"/>
                <w:sz w:val="16"/>
                <w:szCs w:val="16"/>
                <w:lang w:bidi="ar-SA"/>
              </w:rPr>
              <w:t>5.9</w:t>
            </w:r>
          </w:p>
        </w:tc>
      </w:tr>
      <w:tr w:rsidR="00806EEA" w:rsidRPr="00603407" w:rsidTr="00C01B88">
        <w:trPr>
          <w:cantSplit/>
          <w:jc w:val="center"/>
        </w:trPr>
        <w:tc>
          <w:tcPr>
            <w:tcW w:w="5000" w:type="pct"/>
            <w:gridSpan w:val="8"/>
          </w:tcPr>
          <w:p w:rsidR="00806EEA" w:rsidRPr="00603407" w:rsidRDefault="00806EEA" w:rsidP="00F846A2">
            <w:pPr>
              <w:ind w:left="0" w:right="0" w:firstLine="0"/>
              <w:jc w:val="left"/>
              <w:rPr>
                <w:rFonts w:ascii="Calibri" w:eastAsia="Calibri" w:hAnsi="Calibri" w:cs="Calibri"/>
                <w:sz w:val="16"/>
                <w:szCs w:val="16"/>
              </w:rPr>
            </w:pPr>
            <w:r>
              <w:rPr>
                <w:rFonts w:ascii="Calibri" w:eastAsia="Calibri" w:hAnsi="Calibri" w:cs="Calibri"/>
                <w:sz w:val="16"/>
                <w:szCs w:val="16"/>
              </w:rPr>
              <w:t xml:space="preserve">V:Viscosity, </w:t>
            </w:r>
            <w:proofErr w:type="spellStart"/>
            <w:r>
              <w:rPr>
                <w:rFonts w:ascii="Calibri" w:eastAsia="Calibri" w:hAnsi="Calibri" w:cs="Calibri"/>
                <w:sz w:val="16"/>
                <w:szCs w:val="16"/>
              </w:rPr>
              <w:t>S</w:t>
            </w:r>
            <w:r w:rsidR="00796374">
              <w:rPr>
                <w:rFonts w:ascii="Calibri" w:eastAsia="Calibri" w:hAnsi="Calibri" w:cs="Calibri"/>
                <w:sz w:val="16"/>
                <w:szCs w:val="16"/>
              </w:rPr>
              <w:t>P</w:t>
            </w:r>
            <w:r>
              <w:rPr>
                <w:rFonts w:ascii="Calibri" w:eastAsia="Calibri" w:hAnsi="Calibri" w:cs="Calibri"/>
                <w:sz w:val="16"/>
                <w:szCs w:val="16"/>
              </w:rPr>
              <w:t>:spreadability</w:t>
            </w:r>
            <w:proofErr w:type="spellEnd"/>
            <w:r>
              <w:rPr>
                <w:rFonts w:ascii="Calibri" w:eastAsia="Calibri" w:hAnsi="Calibri" w:cs="Calibri"/>
                <w:sz w:val="16"/>
                <w:szCs w:val="16"/>
              </w:rPr>
              <w:t xml:space="preserve">, S:sensitivity, </w:t>
            </w:r>
            <w:proofErr w:type="spellStart"/>
            <w:r>
              <w:rPr>
                <w:rFonts w:ascii="Calibri" w:eastAsia="Calibri" w:hAnsi="Calibri" w:cs="Calibri"/>
                <w:sz w:val="16"/>
                <w:szCs w:val="16"/>
              </w:rPr>
              <w:t>CH</w:t>
            </w:r>
            <w:r w:rsidR="00796374">
              <w:rPr>
                <w:rFonts w:ascii="Calibri" w:eastAsia="Calibri" w:hAnsi="Calibri" w:cs="Calibri"/>
                <w:sz w:val="16"/>
                <w:szCs w:val="16"/>
              </w:rPr>
              <w:t>:Color</w:t>
            </w:r>
            <w:proofErr w:type="spellEnd"/>
            <w:r w:rsidR="00796374">
              <w:rPr>
                <w:rFonts w:ascii="Calibri" w:eastAsia="Calibri" w:hAnsi="Calibri" w:cs="Calibri"/>
                <w:sz w:val="16"/>
                <w:szCs w:val="16"/>
              </w:rPr>
              <w:t xml:space="preserve"> Change, W:Washability</w:t>
            </w:r>
          </w:p>
        </w:tc>
      </w:tr>
    </w:tbl>
    <w:p w:rsidR="00DD5C0B" w:rsidRDefault="00DD5C0B" w:rsidP="00DE3782">
      <w:pPr>
        <w:pStyle w:val="BodyText"/>
      </w:pPr>
    </w:p>
    <w:p w:rsidR="00796374" w:rsidRDefault="00796374" w:rsidP="002626A7">
      <w:pPr>
        <w:pStyle w:val="BodyText"/>
        <w:ind w:left="5040"/>
      </w:pPr>
      <w:r>
        <w:t xml:space="preserve">            </w:t>
      </w:r>
    </w:p>
    <w:tbl>
      <w:tblPr>
        <w:tblStyle w:val="TableGrid"/>
        <w:tblW w:w="5125" w:type="dxa"/>
        <w:jc w:val="right"/>
        <w:tblLayout w:type="fixed"/>
        <w:tblLook w:val="04A0" w:firstRow="1" w:lastRow="0" w:firstColumn="1" w:lastColumn="0" w:noHBand="0" w:noVBand="1"/>
      </w:tblPr>
      <w:tblGrid>
        <w:gridCol w:w="2517"/>
        <w:gridCol w:w="2608"/>
      </w:tblGrid>
      <w:tr w:rsidR="00536866" w:rsidTr="00536866">
        <w:trPr>
          <w:cantSplit/>
          <w:trHeight w:val="1134"/>
          <w:jc w:val="right"/>
        </w:trPr>
        <w:tc>
          <w:tcPr>
            <w:tcW w:w="2517" w:type="dxa"/>
          </w:tcPr>
          <w:p w:rsidR="00796374" w:rsidRDefault="00796374" w:rsidP="00536866">
            <w:pPr>
              <w:pStyle w:val="BodyText"/>
              <w:ind w:left="0" w:right="0" w:firstLine="0"/>
              <w:jc w:val="left"/>
            </w:pPr>
            <w:r w:rsidRPr="005C719B">
              <w:drawing>
                <wp:inline distT="0" distB="0" distL="0" distR="0" wp14:anchorId="1E1007D9" wp14:editId="6809D12B">
                  <wp:extent cx="1461459" cy="57658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c>
          <w:tcPr>
            <w:tcW w:w="2608" w:type="dxa"/>
          </w:tcPr>
          <w:p w:rsidR="00796374" w:rsidRDefault="00796374" w:rsidP="00536866">
            <w:pPr>
              <w:pStyle w:val="BodyText"/>
              <w:ind w:left="0" w:right="0" w:firstLine="0"/>
              <w:jc w:val="left"/>
            </w:pPr>
            <w:r w:rsidRPr="005C719B">
              <w:drawing>
                <wp:anchor distT="0" distB="0" distL="114300" distR="114300" simplePos="0" relativeHeight="251825664" behindDoc="0" locked="0" layoutInCell="1" allowOverlap="1">
                  <wp:simplePos x="0" y="0"/>
                  <wp:positionH relativeFrom="column">
                    <wp:posOffset>-64135</wp:posOffset>
                  </wp:positionH>
                  <wp:positionV relativeFrom="paragraph">
                    <wp:posOffset>635</wp:posOffset>
                  </wp:positionV>
                  <wp:extent cx="1502410" cy="576580"/>
                  <wp:effectExtent l="0" t="0" r="2540" b="13970"/>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anchor>
              </w:drawing>
            </w:r>
          </w:p>
        </w:tc>
      </w:tr>
      <w:tr w:rsidR="00F846A2" w:rsidTr="00536866">
        <w:trPr>
          <w:trHeight w:val="923"/>
          <w:jc w:val="right"/>
        </w:trPr>
        <w:tc>
          <w:tcPr>
            <w:tcW w:w="5125" w:type="dxa"/>
            <w:gridSpan w:val="2"/>
          </w:tcPr>
          <w:p w:rsidR="00F846A2" w:rsidRDefault="00F846A2" w:rsidP="00536866">
            <w:pPr>
              <w:pStyle w:val="BodyText"/>
              <w:ind w:left="0" w:right="0" w:firstLine="0"/>
              <w:jc w:val="left"/>
            </w:pPr>
            <w:r w:rsidRPr="005C719B">
              <w:drawing>
                <wp:inline distT="0" distB="0" distL="0" distR="0" wp14:anchorId="03E23223" wp14:editId="17AA1586">
                  <wp:extent cx="1467700" cy="56959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49316E" w:rsidRPr="00A06758">
              <w:rPr>
                <w:rFonts w:ascii="Arial" w:hAnsi="Arial" w:cs="Arial"/>
                <w:color w:val="212121"/>
                <w:sz w:val="29"/>
                <w:szCs w:val="29"/>
                <w:shd w:val="clear" w:color="auto" w:fill="FFFFFF"/>
              </w:rPr>
              <w:drawing>
                <wp:inline distT="0" distB="0" distL="0" distR="0" wp14:anchorId="730880FB" wp14:editId="28490C14">
                  <wp:extent cx="1584184" cy="593725"/>
                  <wp:effectExtent l="0" t="0" r="16510" b="1587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4C1995" w:rsidTr="00536866">
        <w:trPr>
          <w:trHeight w:val="212"/>
          <w:jc w:val="right"/>
        </w:trPr>
        <w:tc>
          <w:tcPr>
            <w:tcW w:w="5125" w:type="dxa"/>
            <w:gridSpan w:val="2"/>
          </w:tcPr>
          <w:p w:rsidR="004C1995" w:rsidRPr="00536866" w:rsidRDefault="00C01B88" w:rsidP="00536866">
            <w:pPr>
              <w:pStyle w:val="BodyText"/>
              <w:ind w:left="0" w:right="0" w:firstLine="0"/>
              <w:jc w:val="left"/>
              <w:rPr>
                <w:b/>
                <w:bCs/>
                <w:sz w:val="14"/>
                <w:szCs w:val="14"/>
              </w:rPr>
            </w:pPr>
            <w:r w:rsidRPr="00536866">
              <w:rPr>
                <w:b/>
                <w:bCs/>
                <w:sz w:val="14"/>
                <w:szCs w:val="14"/>
                <w:lang w:val="en-GB"/>
              </w:rPr>
              <w:t xml:space="preserve">Fig.1 SPF determination-Transmission spectroscopy. Range 290nm-400nm </w:t>
            </w:r>
          </w:p>
        </w:tc>
      </w:tr>
    </w:tbl>
    <w:p w:rsidR="001106C1" w:rsidRDefault="001106C1" w:rsidP="00796374">
      <w:pPr>
        <w:pStyle w:val="BodyText"/>
      </w:pPr>
      <w:bookmarkStart w:id="0" w:name="_GoBack"/>
      <w:bookmarkEnd w:id="0"/>
    </w:p>
    <w:p w:rsidR="004C1995" w:rsidRPr="00A57378" w:rsidRDefault="004C1995" w:rsidP="00DF36E5">
      <w:pPr>
        <w:pStyle w:val="BodyText"/>
      </w:pPr>
      <w:r>
        <w:t xml:space="preserve">           </w:t>
      </w:r>
    </w:p>
    <w:tbl>
      <w:tblPr>
        <w:tblStyle w:val="TableGrid"/>
        <w:tblW w:w="0" w:type="auto"/>
        <w:jc w:val="center"/>
        <w:tblLook w:val="04A0" w:firstRow="1" w:lastRow="0" w:firstColumn="1" w:lastColumn="0" w:noHBand="0" w:noVBand="1"/>
      </w:tblPr>
      <w:tblGrid>
        <w:gridCol w:w="1332"/>
        <w:gridCol w:w="1332"/>
        <w:gridCol w:w="1332"/>
        <w:gridCol w:w="1332"/>
      </w:tblGrid>
      <w:tr w:rsidR="004C1995" w:rsidTr="004C1995">
        <w:trPr>
          <w:trHeight w:val="512"/>
          <w:jc w:val="center"/>
        </w:trPr>
        <w:tc>
          <w:tcPr>
            <w:tcW w:w="2250" w:type="dxa"/>
          </w:tcPr>
          <w:p w:rsidR="004C1995" w:rsidRDefault="004C1995" w:rsidP="00DF36E5">
            <w:pPr>
              <w:pStyle w:val="BodyText"/>
            </w:pPr>
            <w:r>
              <w:rPr>
                <w:noProof/>
              </w:rPr>
              <w:drawing>
                <wp:anchor distT="0" distB="0" distL="114300" distR="114300" simplePos="0" relativeHeight="251811328" behindDoc="0" locked="0" layoutInCell="1" allowOverlap="1" wp14:anchorId="638D00A4" wp14:editId="335E84DF">
                  <wp:simplePos x="0" y="0"/>
                  <wp:positionH relativeFrom="column">
                    <wp:posOffset>17780</wp:posOffset>
                  </wp:positionH>
                  <wp:positionV relativeFrom="paragraph">
                    <wp:posOffset>18415</wp:posOffset>
                  </wp:positionV>
                  <wp:extent cx="733425" cy="333375"/>
                  <wp:effectExtent l="0" t="0" r="0" b="0"/>
                  <wp:wrapNone/>
                  <wp:docPr id="7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49"/>
                          <pic:cNvPicPr>
                            <a:picLocks noChangeAspect="1" noChangeArrowheads="1"/>
                          </pic:cNvPicPr>
                        </pic:nvPicPr>
                        <pic:blipFill>
                          <a:blip r:embed="rId16" cstate="print">
                            <a:extLst>
                              <a:ext uri="{28A0092B-C50C-407E-A947-70E740481C1C}">
                                <a14:useLocalDpi xmlns:a14="http://schemas.microsoft.com/office/drawing/2010/main" val="0"/>
                              </a:ext>
                            </a:extLst>
                          </a:blip>
                          <a:srcRect l="960" t="1507" r="76957" b="51781"/>
                          <a:stretch>
                            <a:fillRect/>
                          </a:stretch>
                        </pic:blipFill>
                        <pic:spPr bwMode="auto">
                          <a:xfrm>
                            <a:off x="0" y="0"/>
                            <a:ext cx="733425" cy="333375"/>
                          </a:xfrm>
                          <a:prstGeom prst="rect">
                            <a:avLst/>
                          </a:prstGeom>
                          <a:noFill/>
                          <a:ln>
                            <a:noFill/>
                          </a:ln>
                          <a:effectLst/>
                          <a:extLst/>
                        </pic:spPr>
                      </pic:pic>
                    </a:graphicData>
                  </a:graphic>
                  <wp14:sizeRelH relativeFrom="margin">
                    <wp14:pctWidth>0</wp14:pctWidth>
                  </wp14:sizeRelH>
                </wp:anchor>
              </w:drawing>
            </w:r>
          </w:p>
        </w:tc>
        <w:tc>
          <w:tcPr>
            <w:tcW w:w="2250" w:type="dxa"/>
          </w:tcPr>
          <w:p w:rsidR="004C1995" w:rsidRDefault="004C1995" w:rsidP="00DF36E5">
            <w:pPr>
              <w:pStyle w:val="BodyText"/>
            </w:pPr>
            <w:r>
              <w:rPr>
                <w:noProof/>
                <w:color w:val="BF5A14"/>
              </w:rPr>
              <w:drawing>
                <wp:anchor distT="0" distB="0" distL="114300" distR="114300" simplePos="0" relativeHeight="251538944" behindDoc="0" locked="0" layoutInCell="1" allowOverlap="1" wp14:anchorId="00A2C6A1" wp14:editId="7FAAB453">
                  <wp:simplePos x="0" y="0"/>
                  <wp:positionH relativeFrom="column">
                    <wp:posOffset>36830</wp:posOffset>
                  </wp:positionH>
                  <wp:positionV relativeFrom="paragraph">
                    <wp:posOffset>7620</wp:posOffset>
                  </wp:positionV>
                  <wp:extent cx="685800" cy="321945"/>
                  <wp:effectExtent l="0" t="0" r="0" b="0"/>
                  <wp:wrapNone/>
                  <wp:docPr id="7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49"/>
                          <pic:cNvPicPr>
                            <a:picLocks noChangeAspect="1" noChangeArrowheads="1"/>
                          </pic:cNvPicPr>
                        </pic:nvPicPr>
                        <pic:blipFill>
                          <a:blip r:embed="rId17" cstate="print">
                            <a:extLst>
                              <a:ext uri="{28A0092B-C50C-407E-A947-70E740481C1C}">
                                <a14:useLocalDpi xmlns:a14="http://schemas.microsoft.com/office/drawing/2010/main" val="0"/>
                              </a:ext>
                            </a:extLst>
                          </a:blip>
                          <a:srcRect l="25047" t="1555" r="51910" b="51781"/>
                          <a:stretch>
                            <a:fillRect/>
                          </a:stretch>
                        </pic:blipFill>
                        <pic:spPr bwMode="auto">
                          <a:xfrm>
                            <a:off x="0" y="0"/>
                            <a:ext cx="685800" cy="321945"/>
                          </a:xfrm>
                          <a:prstGeom prst="rect">
                            <a:avLst/>
                          </a:prstGeom>
                          <a:noFill/>
                          <a:ln>
                            <a:noFill/>
                          </a:ln>
                          <a:effectLst/>
                          <a:extLst/>
                        </pic:spPr>
                      </pic:pic>
                    </a:graphicData>
                  </a:graphic>
                  <wp14:sizeRelH relativeFrom="margin">
                    <wp14:pctWidth>0</wp14:pctWidth>
                  </wp14:sizeRelH>
                </wp:anchor>
              </w:drawing>
            </w:r>
          </w:p>
        </w:tc>
        <w:tc>
          <w:tcPr>
            <w:tcW w:w="2250" w:type="dxa"/>
          </w:tcPr>
          <w:p w:rsidR="004C1995" w:rsidRDefault="004C1995" w:rsidP="00DF36E5">
            <w:pPr>
              <w:pStyle w:val="BodyText"/>
            </w:pPr>
            <w:r>
              <w:rPr>
                <w:noProof/>
                <w:color w:val="BF5A14"/>
              </w:rPr>
              <w:drawing>
                <wp:anchor distT="0" distB="0" distL="114300" distR="114300" simplePos="0" relativeHeight="251568640" behindDoc="0" locked="0" layoutInCell="1" allowOverlap="1" wp14:anchorId="173417B6" wp14:editId="447E6E5E">
                  <wp:simplePos x="0" y="0"/>
                  <wp:positionH relativeFrom="column">
                    <wp:posOffset>47625</wp:posOffset>
                  </wp:positionH>
                  <wp:positionV relativeFrom="paragraph">
                    <wp:posOffset>9525</wp:posOffset>
                  </wp:positionV>
                  <wp:extent cx="609600" cy="321945"/>
                  <wp:effectExtent l="0" t="0" r="0" b="0"/>
                  <wp:wrapNone/>
                  <wp:docPr id="7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49"/>
                          <pic:cNvPicPr>
                            <a:picLocks noChangeAspect="1" noChangeArrowheads="1"/>
                          </pic:cNvPicPr>
                        </pic:nvPicPr>
                        <pic:blipFill>
                          <a:blip r:embed="rId18" cstate="print">
                            <a:extLst>
                              <a:ext uri="{28A0092B-C50C-407E-A947-70E740481C1C}">
                                <a14:useLocalDpi xmlns:a14="http://schemas.microsoft.com/office/drawing/2010/main" val="0"/>
                              </a:ext>
                            </a:extLst>
                          </a:blip>
                          <a:srcRect l="50094" t="1491" r="26863" b="53790"/>
                          <a:stretch>
                            <a:fillRect/>
                          </a:stretch>
                        </pic:blipFill>
                        <pic:spPr bwMode="auto">
                          <a:xfrm>
                            <a:off x="0" y="0"/>
                            <a:ext cx="609600" cy="321945"/>
                          </a:xfrm>
                          <a:prstGeom prst="rect">
                            <a:avLst/>
                          </a:prstGeom>
                          <a:noFill/>
                          <a:ln>
                            <a:noFill/>
                          </a:ln>
                          <a:effectLst/>
                          <a:extLst/>
                        </pic:spPr>
                      </pic:pic>
                    </a:graphicData>
                  </a:graphic>
                  <wp14:sizeRelH relativeFrom="margin">
                    <wp14:pctWidth>0</wp14:pctWidth>
                  </wp14:sizeRelH>
                </wp:anchor>
              </w:drawing>
            </w:r>
          </w:p>
        </w:tc>
        <w:tc>
          <w:tcPr>
            <w:tcW w:w="2250" w:type="dxa"/>
          </w:tcPr>
          <w:p w:rsidR="004C1995" w:rsidRDefault="004C1995" w:rsidP="00DF36E5">
            <w:pPr>
              <w:pStyle w:val="BodyText"/>
            </w:pPr>
            <w:r>
              <w:rPr>
                <w:noProof/>
              </w:rPr>
              <w:drawing>
                <wp:anchor distT="0" distB="0" distL="114300" distR="114300" simplePos="0" relativeHeight="251805184" behindDoc="0" locked="0" layoutInCell="1" allowOverlap="1" wp14:anchorId="02C6DB0F" wp14:editId="21CE7CFB">
                  <wp:simplePos x="0" y="0"/>
                  <wp:positionH relativeFrom="column">
                    <wp:posOffset>57150</wp:posOffset>
                  </wp:positionH>
                  <wp:positionV relativeFrom="paragraph">
                    <wp:posOffset>19050</wp:posOffset>
                  </wp:positionV>
                  <wp:extent cx="600075" cy="276225"/>
                  <wp:effectExtent l="0" t="0" r="0" b="0"/>
                  <wp:wrapNone/>
                  <wp:docPr id="7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49"/>
                          <pic:cNvPicPr>
                            <a:picLocks noChangeAspect="1" noChangeArrowheads="1"/>
                          </pic:cNvPicPr>
                        </pic:nvPicPr>
                        <pic:blipFill>
                          <a:blip r:embed="rId19" cstate="print">
                            <a:extLst>
                              <a:ext uri="{28A0092B-C50C-407E-A947-70E740481C1C}">
                                <a14:useLocalDpi xmlns:a14="http://schemas.microsoft.com/office/drawing/2010/main" val="0"/>
                              </a:ext>
                            </a:extLst>
                          </a:blip>
                          <a:srcRect l="75141" t="1491" b="53790"/>
                          <a:stretch>
                            <a:fillRect/>
                          </a:stretch>
                        </pic:blipFill>
                        <pic:spPr bwMode="auto">
                          <a:xfrm>
                            <a:off x="0" y="0"/>
                            <a:ext cx="600075" cy="27622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tc>
      </w:tr>
      <w:tr w:rsidR="004C1995" w:rsidTr="004C1995">
        <w:trPr>
          <w:trHeight w:val="530"/>
          <w:jc w:val="center"/>
        </w:trPr>
        <w:tc>
          <w:tcPr>
            <w:tcW w:w="2250" w:type="dxa"/>
          </w:tcPr>
          <w:p w:rsidR="004C1995" w:rsidRDefault="004C1995" w:rsidP="00DF36E5">
            <w:pPr>
              <w:pStyle w:val="BodyText"/>
            </w:pPr>
            <w:r w:rsidRPr="000239CB">
              <w:rPr>
                <w:noProof/>
                <w:color w:val="BF5A14"/>
                <w:lang w:bidi="ar-SA"/>
              </w:rPr>
              <w:drawing>
                <wp:anchor distT="0" distB="0" distL="114300" distR="114300" simplePos="0" relativeHeight="251824640" behindDoc="0" locked="0" layoutInCell="1" allowOverlap="1" wp14:anchorId="7C070A6D" wp14:editId="3527E6B8">
                  <wp:simplePos x="0" y="0"/>
                  <wp:positionH relativeFrom="margin">
                    <wp:posOffset>15875</wp:posOffset>
                  </wp:positionH>
                  <wp:positionV relativeFrom="paragraph">
                    <wp:posOffset>15240</wp:posOffset>
                  </wp:positionV>
                  <wp:extent cx="752475" cy="304165"/>
                  <wp:effectExtent l="0" t="0" r="0" b="0"/>
                  <wp:wrapNone/>
                  <wp:docPr id="1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49"/>
                          <pic:cNvPicPr>
                            <a:picLocks noChangeAspect="1" noChangeArrowheads="1"/>
                          </pic:cNvPicPr>
                        </pic:nvPicPr>
                        <pic:blipFill>
                          <a:blip r:embed="rId20" cstate="print">
                            <a:extLst>
                              <a:ext uri="{28A0092B-C50C-407E-A947-70E740481C1C}">
                                <a14:useLocalDpi xmlns:a14="http://schemas.microsoft.com/office/drawing/2010/main" val="0"/>
                              </a:ext>
                            </a:extLst>
                          </a:blip>
                          <a:srcRect l="75141" t="50228"/>
                          <a:stretch>
                            <a:fillRect/>
                          </a:stretch>
                        </pic:blipFill>
                        <pic:spPr bwMode="auto">
                          <a:xfrm>
                            <a:off x="0" y="0"/>
                            <a:ext cx="752475" cy="30416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tc>
        <w:tc>
          <w:tcPr>
            <w:tcW w:w="2250" w:type="dxa"/>
          </w:tcPr>
          <w:p w:rsidR="004C1995" w:rsidRPr="00C01B88" w:rsidRDefault="004C1995" w:rsidP="00DF36E5">
            <w:pPr>
              <w:pStyle w:val="BodyText"/>
              <w:rPr>
                <w:color w:val="000000" w:themeColor="text1"/>
              </w:rPr>
            </w:pPr>
            <w:r w:rsidRPr="00C01B88">
              <w:rPr>
                <w:noProof/>
                <w:color w:val="000000" w:themeColor="text1"/>
                <w:lang w:bidi="ar-SA"/>
              </w:rPr>
              <w:drawing>
                <wp:anchor distT="0" distB="0" distL="114300" distR="114300" simplePos="0" relativeHeight="251818496" behindDoc="0" locked="0" layoutInCell="1" allowOverlap="1" wp14:anchorId="56CAE2B4" wp14:editId="406806A1">
                  <wp:simplePos x="0" y="0"/>
                  <wp:positionH relativeFrom="margin">
                    <wp:posOffset>57150</wp:posOffset>
                  </wp:positionH>
                  <wp:positionV relativeFrom="paragraph">
                    <wp:posOffset>19050</wp:posOffset>
                  </wp:positionV>
                  <wp:extent cx="567690" cy="323850"/>
                  <wp:effectExtent l="0" t="0" r="0" b="0"/>
                  <wp:wrapNone/>
                  <wp:docPr id="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49"/>
                          <pic:cNvPicPr>
                            <a:picLocks noChangeAspect="1" noChangeArrowheads="1"/>
                          </pic:cNvPicPr>
                        </pic:nvPicPr>
                        <pic:blipFill>
                          <a:blip r:embed="rId21" cstate="print">
                            <a:extLst>
                              <a:ext uri="{28A0092B-C50C-407E-A947-70E740481C1C}">
                                <a14:useLocalDpi xmlns:a14="http://schemas.microsoft.com/office/drawing/2010/main" val="0"/>
                              </a:ext>
                            </a:extLst>
                          </a:blip>
                          <a:srcRect t="48219" r="76456"/>
                          <a:stretch>
                            <a:fillRect/>
                          </a:stretch>
                        </pic:blipFill>
                        <pic:spPr bwMode="auto">
                          <a:xfrm>
                            <a:off x="0" y="0"/>
                            <a:ext cx="567690" cy="32385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tc>
        <w:tc>
          <w:tcPr>
            <w:tcW w:w="2250" w:type="dxa"/>
          </w:tcPr>
          <w:p w:rsidR="004C1995" w:rsidRDefault="004C1995" w:rsidP="00DF36E5">
            <w:pPr>
              <w:pStyle w:val="BodyText"/>
            </w:pPr>
            <w:r w:rsidRPr="000239CB">
              <w:rPr>
                <w:noProof/>
                <w:color w:val="BF5A14"/>
                <w:lang w:bidi="ar-SA"/>
              </w:rPr>
              <w:drawing>
                <wp:anchor distT="0" distB="0" distL="114300" distR="114300" simplePos="0" relativeHeight="251686400" behindDoc="0" locked="0" layoutInCell="1" allowOverlap="1" wp14:anchorId="06DFBB8D" wp14:editId="502ACB57">
                  <wp:simplePos x="0" y="0"/>
                  <wp:positionH relativeFrom="margin">
                    <wp:posOffset>9525</wp:posOffset>
                  </wp:positionH>
                  <wp:positionV relativeFrom="paragraph">
                    <wp:posOffset>19050</wp:posOffset>
                  </wp:positionV>
                  <wp:extent cx="616585" cy="295275"/>
                  <wp:effectExtent l="0" t="0" r="0" b="0"/>
                  <wp:wrapNone/>
                  <wp:docPr id="1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49"/>
                          <pic:cNvPicPr>
                            <a:picLocks noChangeAspect="1" noChangeArrowheads="1"/>
                          </pic:cNvPicPr>
                        </pic:nvPicPr>
                        <pic:blipFill>
                          <a:blip r:embed="rId22" cstate="print">
                            <a:extLst>
                              <a:ext uri="{28A0092B-C50C-407E-A947-70E740481C1C}">
                                <a14:useLocalDpi xmlns:a14="http://schemas.microsoft.com/office/drawing/2010/main" val="0"/>
                              </a:ext>
                            </a:extLst>
                          </a:blip>
                          <a:srcRect l="25047" t="48219" r="51910"/>
                          <a:stretch>
                            <a:fillRect/>
                          </a:stretch>
                        </pic:blipFill>
                        <pic:spPr bwMode="auto">
                          <a:xfrm>
                            <a:off x="0" y="0"/>
                            <a:ext cx="616585" cy="29527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tc>
        <w:tc>
          <w:tcPr>
            <w:tcW w:w="2250" w:type="dxa"/>
          </w:tcPr>
          <w:p w:rsidR="004C1995" w:rsidRDefault="004C1995" w:rsidP="00DF36E5">
            <w:pPr>
              <w:pStyle w:val="BodyText"/>
            </w:pPr>
            <w:r w:rsidRPr="000239CB">
              <w:rPr>
                <w:noProof/>
                <w:color w:val="BF5A14"/>
                <w:lang w:bidi="ar-SA"/>
              </w:rPr>
              <w:drawing>
                <wp:anchor distT="0" distB="0" distL="114300" distR="114300" simplePos="0" relativeHeight="251745792" behindDoc="0" locked="0" layoutInCell="1" allowOverlap="1" wp14:anchorId="395E2E73" wp14:editId="6D28CAB7">
                  <wp:simplePos x="0" y="0"/>
                  <wp:positionH relativeFrom="margin">
                    <wp:posOffset>44450</wp:posOffset>
                  </wp:positionH>
                  <wp:positionV relativeFrom="paragraph">
                    <wp:posOffset>41275</wp:posOffset>
                  </wp:positionV>
                  <wp:extent cx="629920" cy="257175"/>
                  <wp:effectExtent l="0" t="0" r="0" b="0"/>
                  <wp:wrapNone/>
                  <wp:docPr id="1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49"/>
                          <pic:cNvPicPr>
                            <a:picLocks noChangeAspect="1" noChangeArrowheads="1"/>
                          </pic:cNvPicPr>
                        </pic:nvPicPr>
                        <pic:blipFill>
                          <a:blip r:embed="rId23" cstate="print">
                            <a:extLst>
                              <a:ext uri="{28A0092B-C50C-407E-A947-70E740481C1C}">
                                <a14:useLocalDpi xmlns:a14="http://schemas.microsoft.com/office/drawing/2010/main" val="0"/>
                              </a:ext>
                            </a:extLst>
                          </a:blip>
                          <a:srcRect l="50094" t="48219" r="26362"/>
                          <a:stretch>
                            <a:fillRect/>
                          </a:stretch>
                        </pic:blipFill>
                        <pic:spPr bwMode="auto">
                          <a:xfrm>
                            <a:off x="0" y="0"/>
                            <a:ext cx="629920" cy="25717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tc>
      </w:tr>
      <w:tr w:rsidR="004C1995" w:rsidTr="004C1995">
        <w:trPr>
          <w:trHeight w:val="350"/>
          <w:jc w:val="center"/>
        </w:trPr>
        <w:tc>
          <w:tcPr>
            <w:tcW w:w="9000" w:type="dxa"/>
            <w:gridSpan w:val="4"/>
          </w:tcPr>
          <w:p w:rsidR="004C1995" w:rsidRPr="00C01B88" w:rsidRDefault="004C1995" w:rsidP="00C01B88">
            <w:pPr>
              <w:pStyle w:val="Heading3"/>
              <w:spacing w:before="74"/>
              <w:ind w:left="0"/>
              <w:jc w:val="center"/>
              <w:rPr>
                <w:rFonts w:ascii="Tw Cen MT" w:eastAsia="Tw Cen MT" w:hAnsi="Tw Cen MT" w:cs="Tw Cen MT"/>
                <w:bCs w:val="0"/>
                <w:color w:val="000000" w:themeColor="text1"/>
                <w:sz w:val="18"/>
                <w:szCs w:val="18"/>
              </w:rPr>
            </w:pPr>
            <w:r w:rsidRPr="00C01B88">
              <w:rPr>
                <w:rFonts w:ascii="Tw Cen MT" w:eastAsia="Tw Cen MT" w:hAnsi="Tw Cen MT" w:cs="Tw Cen MT"/>
                <w:bCs w:val="0"/>
                <w:color w:val="000000" w:themeColor="text1"/>
                <w:sz w:val="18"/>
                <w:szCs w:val="18"/>
              </w:rPr>
              <w:t xml:space="preserve">Fig. </w:t>
            </w:r>
            <w:r w:rsidR="00C01B88">
              <w:rPr>
                <w:rFonts w:ascii="Tw Cen MT" w:eastAsia="Tw Cen MT" w:hAnsi="Tw Cen MT" w:cs="Tw Cen MT"/>
                <w:bCs w:val="0"/>
                <w:color w:val="000000" w:themeColor="text1"/>
                <w:sz w:val="18"/>
                <w:szCs w:val="18"/>
              </w:rPr>
              <w:t>2</w:t>
            </w:r>
            <w:r w:rsidRPr="00C01B88">
              <w:rPr>
                <w:rFonts w:ascii="Tw Cen MT" w:eastAsia="Tw Cen MT" w:hAnsi="Tw Cen MT" w:cs="Tw Cen MT"/>
                <w:bCs w:val="0"/>
                <w:color w:val="000000" w:themeColor="text1"/>
                <w:sz w:val="18"/>
                <w:szCs w:val="18"/>
              </w:rPr>
              <w:t xml:space="preserve"> The epidermal of skin size of different rehydration creams</w:t>
            </w:r>
          </w:p>
        </w:tc>
      </w:tr>
    </w:tbl>
    <w:p w:rsidR="005C719B" w:rsidRPr="00A57378" w:rsidRDefault="005C719B" w:rsidP="00DF36E5">
      <w:pPr>
        <w:pStyle w:val="BodyText"/>
      </w:pPr>
    </w:p>
    <w:p w:rsidR="009D72B6" w:rsidRPr="00C01B88" w:rsidRDefault="00C01B88" w:rsidP="00C01B88">
      <w:pPr>
        <w:pStyle w:val="BodyText"/>
      </w:pPr>
      <w:r>
        <w:t xml:space="preserve">          </w:t>
      </w:r>
    </w:p>
    <w:p w:rsidR="004C1995" w:rsidRPr="00BA4EAA" w:rsidRDefault="004C1995" w:rsidP="004C1995">
      <w:pPr>
        <w:pStyle w:val="Heading3"/>
        <w:spacing w:before="74"/>
        <w:ind w:left="0"/>
        <w:rPr>
          <w:rFonts w:ascii="Tw Cen MT" w:eastAsia="Tw Cen MT" w:hAnsi="Tw Cen MT" w:cs="Tw Cen MT"/>
          <w:bCs w:val="0"/>
          <w:color w:val="BF5A14"/>
          <w:sz w:val="18"/>
          <w:szCs w:val="18"/>
        </w:rPr>
      </w:pPr>
      <w:r>
        <w:rPr>
          <w:rFonts w:ascii="Tw Cen MT" w:eastAsia="Tw Cen MT" w:hAnsi="Tw Cen MT" w:cs="Tw Cen MT"/>
          <w:bCs w:val="0"/>
          <w:color w:val="BF5A14"/>
          <w:sz w:val="18"/>
          <w:szCs w:val="18"/>
        </w:rPr>
        <w:t>References:</w:t>
      </w:r>
    </w:p>
    <w:p w:rsidR="00C074F4" w:rsidRDefault="00C074F4" w:rsidP="00C074F4">
      <w:pPr>
        <w:pStyle w:val="Heading3"/>
        <w:spacing w:before="74"/>
        <w:ind w:left="0"/>
        <w:jc w:val="center"/>
        <w:rPr>
          <w:color w:val="000000" w:themeColor="text1"/>
          <w:sz w:val="12"/>
          <w:szCs w:val="12"/>
          <w:lang w:val="en-GB"/>
        </w:rPr>
      </w:pPr>
    </w:p>
    <w:p w:rsidR="001118D0" w:rsidRPr="001118D0" w:rsidRDefault="001118D0" w:rsidP="001118D0">
      <w:pPr>
        <w:pStyle w:val="ListParagraph"/>
        <w:numPr>
          <w:ilvl w:val="0"/>
          <w:numId w:val="1"/>
        </w:numPr>
        <w:tabs>
          <w:tab w:val="left" w:pos="384"/>
        </w:tabs>
        <w:spacing w:before="103" w:line="216" w:lineRule="exact"/>
        <w:ind w:right="138" w:hanging="283"/>
        <w:jc w:val="left"/>
        <w:rPr>
          <w:rFonts w:ascii="Tw Cen MT" w:hAnsi="Tw Cen MT"/>
          <w:sz w:val="18"/>
          <w:szCs w:val="18"/>
        </w:rPr>
      </w:pPr>
      <w:proofErr w:type="spellStart"/>
      <w:r w:rsidRPr="001118D0">
        <w:rPr>
          <w:rFonts w:ascii="Tw Cen MT" w:hAnsi="Tw Cen MT"/>
          <w:sz w:val="18"/>
          <w:szCs w:val="18"/>
        </w:rPr>
        <w:t>Darbre</w:t>
      </w:r>
      <w:proofErr w:type="spellEnd"/>
      <w:r w:rsidRPr="001118D0">
        <w:rPr>
          <w:rFonts w:ascii="Tw Cen MT" w:hAnsi="Tw Cen MT"/>
          <w:sz w:val="18"/>
          <w:szCs w:val="18"/>
        </w:rPr>
        <w:t xml:space="preserve">, et al., “Concentrations of Parabens in Human Breast </w:t>
      </w:r>
      <w:proofErr w:type="spellStart"/>
      <w:r w:rsidRPr="001118D0">
        <w:rPr>
          <w:rFonts w:ascii="Tw Cen MT" w:hAnsi="Tw Cen MT"/>
          <w:sz w:val="18"/>
          <w:szCs w:val="18"/>
        </w:rPr>
        <w:t>Tumours</w:t>
      </w:r>
      <w:proofErr w:type="spellEnd"/>
      <w:r w:rsidRPr="001118D0">
        <w:rPr>
          <w:rFonts w:ascii="Tw Cen MT" w:hAnsi="Tw Cen MT"/>
          <w:sz w:val="18"/>
          <w:szCs w:val="18"/>
        </w:rPr>
        <w:t xml:space="preserve">,” Journal of Applied Toxicology Vol. 1, </w:t>
      </w:r>
      <w:r>
        <w:rPr>
          <w:rFonts w:ascii="Tw Cen MT" w:hAnsi="Tw Cen MT"/>
          <w:sz w:val="18"/>
          <w:szCs w:val="18"/>
        </w:rPr>
        <w:t xml:space="preserve">January-February 2004, pp. 5-13. </w:t>
      </w:r>
    </w:p>
    <w:p w:rsidR="00FC1F1D" w:rsidRPr="00F46C5A" w:rsidRDefault="00FC1F1D" w:rsidP="00AB4B9E">
      <w:pPr>
        <w:pStyle w:val="ListParagraph"/>
        <w:numPr>
          <w:ilvl w:val="0"/>
          <w:numId w:val="1"/>
        </w:numPr>
        <w:tabs>
          <w:tab w:val="left" w:pos="384"/>
        </w:tabs>
        <w:spacing w:before="103" w:line="216" w:lineRule="exact"/>
        <w:ind w:right="138" w:hanging="283"/>
        <w:jc w:val="left"/>
        <w:rPr>
          <w:rFonts w:ascii="Tw Cen MT" w:hAnsi="Tw Cen MT"/>
          <w:sz w:val="18"/>
          <w:szCs w:val="18"/>
        </w:rPr>
      </w:pPr>
      <w:proofErr w:type="spellStart"/>
      <w:r w:rsidRPr="00F46C5A">
        <w:rPr>
          <w:rFonts w:ascii="Tw Cen MT" w:hAnsi="Tw Cen MT"/>
          <w:sz w:val="18"/>
          <w:szCs w:val="18"/>
        </w:rPr>
        <w:t>Dogan</w:t>
      </w:r>
      <w:proofErr w:type="spellEnd"/>
      <w:r w:rsidRPr="00F46C5A">
        <w:rPr>
          <w:rFonts w:ascii="Tw Cen MT" w:hAnsi="Tw Cen MT"/>
          <w:sz w:val="18"/>
          <w:szCs w:val="18"/>
        </w:rPr>
        <w:t xml:space="preserve">, A. and </w:t>
      </w:r>
      <w:proofErr w:type="spellStart"/>
      <w:r w:rsidRPr="00F46C5A">
        <w:rPr>
          <w:rFonts w:ascii="Tw Cen MT" w:hAnsi="Tw Cen MT"/>
          <w:sz w:val="18"/>
          <w:szCs w:val="18"/>
        </w:rPr>
        <w:t>Kazankaya</w:t>
      </w:r>
      <w:proofErr w:type="spellEnd"/>
      <w:r w:rsidRPr="00F46C5A">
        <w:rPr>
          <w:rFonts w:ascii="Tw Cen MT" w:hAnsi="Tw Cen MT"/>
          <w:sz w:val="18"/>
          <w:szCs w:val="18"/>
        </w:rPr>
        <w:t xml:space="preserve">, A. (2006) Properties of Hose Hip Species Grown in Lake Van Basin (Eastern Anatolia Region). </w:t>
      </w:r>
      <w:r w:rsidR="00AB4B9E" w:rsidRPr="00F46C5A">
        <w:rPr>
          <w:rFonts w:ascii="Tw Cen MT" w:hAnsi="Tw Cen MT"/>
          <w:sz w:val="18"/>
          <w:szCs w:val="18"/>
        </w:rPr>
        <w:t>Asian Journal of Plant Sciences</w:t>
      </w:r>
      <w:r w:rsidRPr="00F46C5A">
        <w:rPr>
          <w:rFonts w:ascii="Tw Cen MT" w:hAnsi="Tw Cen MT"/>
          <w:sz w:val="18"/>
          <w:szCs w:val="18"/>
        </w:rPr>
        <w:t xml:space="preserve"> 5, 120-122. http://dx.doi.org/10.3923/ajps.2006.120.122 </w:t>
      </w:r>
    </w:p>
    <w:p w:rsidR="00FC1F1D" w:rsidRPr="00F46C5A" w:rsidRDefault="00FC1F1D" w:rsidP="00FC1F1D">
      <w:pPr>
        <w:pStyle w:val="ListParagraph"/>
        <w:numPr>
          <w:ilvl w:val="0"/>
          <w:numId w:val="1"/>
        </w:numPr>
        <w:tabs>
          <w:tab w:val="left" w:pos="384"/>
        </w:tabs>
        <w:spacing w:before="103" w:line="216" w:lineRule="exact"/>
        <w:ind w:right="138" w:hanging="283"/>
        <w:rPr>
          <w:rFonts w:ascii="Tw Cen MT" w:hAnsi="Tw Cen MT"/>
          <w:sz w:val="18"/>
          <w:szCs w:val="18"/>
        </w:rPr>
      </w:pPr>
      <w:r w:rsidRPr="00F46C5A">
        <w:rPr>
          <w:rFonts w:ascii="Tw Cen MT" w:hAnsi="Tw Cen MT"/>
          <w:sz w:val="18"/>
          <w:szCs w:val="18"/>
        </w:rPr>
        <w:t xml:space="preserve">  </w:t>
      </w:r>
      <w:proofErr w:type="spellStart"/>
      <w:r w:rsidRPr="00F46C5A">
        <w:rPr>
          <w:rFonts w:ascii="Tw Cen MT" w:hAnsi="Tw Cen MT"/>
          <w:sz w:val="18"/>
          <w:szCs w:val="18"/>
        </w:rPr>
        <w:t>Valladares</w:t>
      </w:r>
      <w:proofErr w:type="spellEnd"/>
      <w:r w:rsidRPr="00F46C5A">
        <w:rPr>
          <w:rFonts w:ascii="Tw Cen MT" w:hAnsi="Tw Cen MT"/>
          <w:sz w:val="18"/>
          <w:szCs w:val="18"/>
        </w:rPr>
        <w:t xml:space="preserve">, J., Palma, M., Sandoval, C. and </w:t>
      </w:r>
      <w:proofErr w:type="spellStart"/>
      <w:r w:rsidRPr="00F46C5A">
        <w:rPr>
          <w:rFonts w:ascii="Tw Cen MT" w:hAnsi="Tw Cen MT"/>
          <w:sz w:val="18"/>
          <w:szCs w:val="18"/>
        </w:rPr>
        <w:t>Carvajal</w:t>
      </w:r>
      <w:proofErr w:type="spellEnd"/>
      <w:r w:rsidRPr="00F46C5A">
        <w:rPr>
          <w:rFonts w:ascii="Tw Cen MT" w:hAnsi="Tw Cen MT"/>
          <w:sz w:val="18"/>
          <w:szCs w:val="18"/>
        </w:rPr>
        <w:t xml:space="preserve">, F. (1986) Cream Hip Oil (Rosa </w:t>
      </w:r>
      <w:proofErr w:type="spellStart"/>
      <w:r w:rsidRPr="00F46C5A">
        <w:rPr>
          <w:rFonts w:ascii="Tw Cen MT" w:hAnsi="Tw Cen MT"/>
          <w:sz w:val="18"/>
          <w:szCs w:val="18"/>
        </w:rPr>
        <w:t>aff</w:t>
      </w:r>
      <w:proofErr w:type="spellEnd"/>
      <w:r w:rsidRPr="00F46C5A">
        <w:rPr>
          <w:rFonts w:ascii="Tw Cen MT" w:hAnsi="Tw Cen MT"/>
          <w:sz w:val="18"/>
          <w:szCs w:val="18"/>
        </w:rPr>
        <w:t xml:space="preserve">. </w:t>
      </w:r>
      <w:proofErr w:type="spellStart"/>
      <w:r w:rsidRPr="00F46C5A">
        <w:rPr>
          <w:rFonts w:ascii="Tw Cen MT" w:hAnsi="Tw Cen MT"/>
          <w:sz w:val="18"/>
          <w:szCs w:val="18"/>
        </w:rPr>
        <w:t>rubiginosa</w:t>
      </w:r>
      <w:proofErr w:type="spellEnd"/>
      <w:r w:rsidRPr="00F46C5A">
        <w:rPr>
          <w:rFonts w:ascii="Tw Cen MT" w:hAnsi="Tw Cen MT"/>
          <w:sz w:val="18"/>
          <w:szCs w:val="18"/>
        </w:rPr>
        <w:t xml:space="preserve"> I.). Part I: Formulation, Preparation and Primary Application in Tissue Regeneration. Annals Real </w:t>
      </w:r>
      <w:proofErr w:type="spellStart"/>
      <w:r w:rsidRPr="00F46C5A">
        <w:rPr>
          <w:rFonts w:ascii="Tw Cen MT" w:hAnsi="Tw Cen MT"/>
          <w:sz w:val="18"/>
          <w:szCs w:val="18"/>
        </w:rPr>
        <w:t>Acad</w:t>
      </w:r>
      <w:proofErr w:type="spellEnd"/>
      <w:r w:rsidRPr="00F46C5A">
        <w:rPr>
          <w:rFonts w:ascii="Tw Cen MT" w:hAnsi="Tw Cen MT"/>
          <w:sz w:val="18"/>
          <w:szCs w:val="18"/>
        </w:rPr>
        <w:t xml:space="preserve"> Farm., 52, 597-612. </w:t>
      </w:r>
    </w:p>
    <w:p w:rsidR="006B47F2" w:rsidRPr="006B47F2" w:rsidRDefault="00FC1F1D" w:rsidP="006B47F2">
      <w:pPr>
        <w:pStyle w:val="ListParagraph"/>
        <w:numPr>
          <w:ilvl w:val="0"/>
          <w:numId w:val="1"/>
        </w:numPr>
        <w:tabs>
          <w:tab w:val="left" w:pos="384"/>
        </w:tabs>
        <w:spacing w:before="103" w:line="216" w:lineRule="exact"/>
        <w:ind w:right="138" w:hanging="283"/>
        <w:rPr>
          <w:color w:val="FF0000"/>
          <w:sz w:val="20"/>
          <w:szCs w:val="20"/>
        </w:rPr>
      </w:pPr>
      <w:r w:rsidRPr="00F46C5A">
        <w:rPr>
          <w:rFonts w:ascii="Tw Cen MT" w:hAnsi="Tw Cen MT"/>
          <w:sz w:val="18"/>
          <w:szCs w:val="18"/>
        </w:rPr>
        <w:t xml:space="preserve"> Santos, J.S., Vieira, A.B. and </w:t>
      </w:r>
      <w:proofErr w:type="spellStart"/>
      <w:r w:rsidRPr="00F46C5A">
        <w:rPr>
          <w:rFonts w:ascii="Tw Cen MT" w:hAnsi="Tw Cen MT"/>
          <w:sz w:val="18"/>
          <w:szCs w:val="18"/>
        </w:rPr>
        <w:t>Kamada</w:t>
      </w:r>
      <w:proofErr w:type="spellEnd"/>
      <w:r w:rsidRPr="00F46C5A">
        <w:rPr>
          <w:rFonts w:ascii="Tw Cen MT" w:hAnsi="Tw Cen MT"/>
          <w:sz w:val="18"/>
          <w:szCs w:val="18"/>
        </w:rPr>
        <w:t xml:space="preserve">, I. (2009) </w:t>
      </w:r>
      <w:proofErr w:type="gramStart"/>
      <w:r w:rsidRPr="00F46C5A">
        <w:rPr>
          <w:rFonts w:ascii="Tw Cen MT" w:hAnsi="Tw Cen MT"/>
          <w:sz w:val="18"/>
          <w:szCs w:val="18"/>
        </w:rPr>
        <w:t>The</w:t>
      </w:r>
      <w:proofErr w:type="gramEnd"/>
      <w:r w:rsidRPr="00F46C5A">
        <w:rPr>
          <w:rFonts w:ascii="Tw Cen MT" w:hAnsi="Tw Cen MT"/>
          <w:sz w:val="18"/>
          <w:szCs w:val="18"/>
        </w:rPr>
        <w:t xml:space="preserve"> Rosehip Not Open Wounds Treatment: A Review. </w:t>
      </w:r>
      <w:proofErr w:type="spellStart"/>
      <w:r w:rsidRPr="00F46C5A">
        <w:rPr>
          <w:rFonts w:ascii="Tw Cen MT" w:hAnsi="Tw Cen MT"/>
          <w:sz w:val="18"/>
          <w:szCs w:val="18"/>
        </w:rPr>
        <w:t>Revista</w:t>
      </w:r>
      <w:proofErr w:type="spellEnd"/>
      <w:r w:rsidRPr="00F46C5A">
        <w:rPr>
          <w:rFonts w:ascii="Tw Cen MT" w:hAnsi="Tw Cen MT"/>
          <w:sz w:val="18"/>
          <w:szCs w:val="18"/>
        </w:rPr>
        <w:t xml:space="preserve"> </w:t>
      </w:r>
      <w:proofErr w:type="spellStart"/>
      <w:r w:rsidRPr="00F46C5A">
        <w:rPr>
          <w:rFonts w:ascii="Tw Cen MT" w:hAnsi="Tw Cen MT"/>
          <w:sz w:val="18"/>
          <w:szCs w:val="18"/>
        </w:rPr>
        <w:t>Brasileira</w:t>
      </w:r>
      <w:proofErr w:type="spellEnd"/>
      <w:r w:rsidRPr="00F46C5A">
        <w:rPr>
          <w:rFonts w:ascii="Tw Cen MT" w:hAnsi="Tw Cen MT"/>
          <w:sz w:val="18"/>
          <w:szCs w:val="18"/>
        </w:rPr>
        <w:t xml:space="preserve"> de </w:t>
      </w:r>
      <w:proofErr w:type="spellStart"/>
      <w:r w:rsidRPr="00F46C5A">
        <w:rPr>
          <w:rFonts w:ascii="Tw Cen MT" w:hAnsi="Tw Cen MT"/>
          <w:sz w:val="18"/>
          <w:szCs w:val="18"/>
        </w:rPr>
        <w:t>Enfermagem</w:t>
      </w:r>
      <w:proofErr w:type="spellEnd"/>
      <w:r w:rsidRPr="00F46C5A">
        <w:rPr>
          <w:rFonts w:ascii="Tw Cen MT" w:hAnsi="Tw Cen MT"/>
          <w:sz w:val="18"/>
          <w:szCs w:val="18"/>
        </w:rPr>
        <w:t>, 62, 457-462.</w:t>
      </w:r>
    </w:p>
    <w:p w:rsidR="00FC1F1D" w:rsidRPr="006B47F2" w:rsidRDefault="006B47F2" w:rsidP="006B47F2">
      <w:pPr>
        <w:pStyle w:val="ListParagraph"/>
        <w:numPr>
          <w:ilvl w:val="0"/>
          <w:numId w:val="1"/>
        </w:numPr>
        <w:tabs>
          <w:tab w:val="left" w:pos="384"/>
        </w:tabs>
        <w:spacing w:before="103" w:line="216" w:lineRule="exact"/>
        <w:ind w:right="138" w:hanging="283"/>
        <w:rPr>
          <w:rFonts w:ascii="Tw Cen MT" w:hAnsi="Tw Cen MT"/>
          <w:sz w:val="18"/>
          <w:szCs w:val="18"/>
        </w:rPr>
      </w:pPr>
      <w:proofErr w:type="spellStart"/>
      <w:r w:rsidRPr="006B47F2">
        <w:rPr>
          <w:rFonts w:ascii="Tw Cen MT" w:hAnsi="Tw Cen MT"/>
          <w:sz w:val="18"/>
          <w:szCs w:val="18"/>
        </w:rPr>
        <w:t>Steiling</w:t>
      </w:r>
      <w:proofErr w:type="spellEnd"/>
      <w:r w:rsidRPr="006B47F2">
        <w:rPr>
          <w:rFonts w:ascii="Tw Cen MT" w:hAnsi="Tw Cen MT"/>
          <w:sz w:val="18"/>
          <w:szCs w:val="18"/>
        </w:rPr>
        <w:t xml:space="preserve">, W.; </w:t>
      </w:r>
      <w:proofErr w:type="spellStart"/>
      <w:r w:rsidRPr="006B47F2">
        <w:rPr>
          <w:rFonts w:ascii="Tw Cen MT" w:hAnsi="Tw Cen MT"/>
          <w:sz w:val="18"/>
          <w:szCs w:val="18"/>
        </w:rPr>
        <w:t>Basketter</w:t>
      </w:r>
      <w:proofErr w:type="spellEnd"/>
      <w:r w:rsidRPr="006B47F2">
        <w:rPr>
          <w:rFonts w:ascii="Tw Cen MT" w:hAnsi="Tw Cen MT"/>
          <w:sz w:val="18"/>
          <w:szCs w:val="18"/>
        </w:rPr>
        <w:t xml:space="preserve">, D.; Berthold, K.; Butler, M.; </w:t>
      </w:r>
      <w:proofErr w:type="spellStart"/>
      <w:r w:rsidRPr="006B47F2">
        <w:rPr>
          <w:rFonts w:ascii="Tw Cen MT" w:hAnsi="Tw Cen MT"/>
          <w:sz w:val="18"/>
          <w:szCs w:val="18"/>
        </w:rPr>
        <w:t>Garrigue</w:t>
      </w:r>
      <w:proofErr w:type="spellEnd"/>
      <w:r w:rsidRPr="006B47F2">
        <w:rPr>
          <w:rFonts w:ascii="Tw Cen MT" w:hAnsi="Tw Cen MT"/>
          <w:sz w:val="18"/>
          <w:szCs w:val="18"/>
        </w:rPr>
        <w:t xml:space="preserve">, J.-L.; Kimber, I.; Lea, L.; Newsome, C.; </w:t>
      </w:r>
      <w:proofErr w:type="spellStart"/>
      <w:r w:rsidRPr="006B47F2">
        <w:rPr>
          <w:rFonts w:ascii="Tw Cen MT" w:hAnsi="Tw Cen MT"/>
          <w:sz w:val="18"/>
          <w:szCs w:val="18"/>
        </w:rPr>
        <w:t>Roggeband</w:t>
      </w:r>
      <w:proofErr w:type="spellEnd"/>
      <w:r w:rsidRPr="006B47F2">
        <w:rPr>
          <w:rFonts w:ascii="Tw Cen MT" w:hAnsi="Tw Cen MT"/>
          <w:sz w:val="18"/>
          <w:szCs w:val="18"/>
        </w:rPr>
        <w:t xml:space="preserve">, R.; </w:t>
      </w:r>
      <w:proofErr w:type="spellStart"/>
      <w:r w:rsidRPr="006B47F2">
        <w:rPr>
          <w:rFonts w:ascii="Tw Cen MT" w:hAnsi="Tw Cen MT"/>
          <w:sz w:val="18"/>
          <w:szCs w:val="18"/>
        </w:rPr>
        <w:t>Stropp</w:t>
      </w:r>
      <w:proofErr w:type="spellEnd"/>
      <w:r w:rsidRPr="006B47F2">
        <w:rPr>
          <w:rFonts w:ascii="Tw Cen MT" w:hAnsi="Tw Cen MT"/>
          <w:sz w:val="18"/>
          <w:szCs w:val="18"/>
        </w:rPr>
        <w:t xml:space="preserve">, G.; et al. Skin </w:t>
      </w:r>
      <w:proofErr w:type="spellStart"/>
      <w:r w:rsidRPr="006B47F2">
        <w:rPr>
          <w:rFonts w:ascii="Tw Cen MT" w:hAnsi="Tw Cen MT"/>
          <w:sz w:val="18"/>
          <w:szCs w:val="18"/>
        </w:rPr>
        <w:t>Sensitisation</w:t>
      </w:r>
      <w:proofErr w:type="spellEnd"/>
      <w:r w:rsidRPr="006B47F2">
        <w:rPr>
          <w:rFonts w:ascii="Tw Cen MT" w:hAnsi="Tw Cen MT"/>
          <w:sz w:val="18"/>
          <w:szCs w:val="18"/>
        </w:rPr>
        <w:t xml:space="preserve"> Testing—New Perspectives and Recommendations. Food Chem. Toxicol. 2001, 39, 293–301</w:t>
      </w:r>
      <w:r>
        <w:rPr>
          <w:rFonts w:ascii="Tw Cen MT" w:hAnsi="Tw Cen MT"/>
          <w:sz w:val="18"/>
          <w:szCs w:val="18"/>
        </w:rPr>
        <w:t>.</w:t>
      </w:r>
      <w:r w:rsidRPr="006B47F2">
        <w:rPr>
          <w:rFonts w:ascii="Tw Cen MT" w:hAnsi="Tw Cen MT"/>
          <w:sz w:val="18"/>
          <w:szCs w:val="18"/>
        </w:rPr>
        <w:t xml:space="preserve"> </w:t>
      </w:r>
    </w:p>
    <w:p w:rsidR="006F5F3C" w:rsidRDefault="006F5F3C" w:rsidP="006F5F3C">
      <w:pPr>
        <w:spacing w:line="200" w:lineRule="exact"/>
        <w:jc w:val="both"/>
        <w:rPr>
          <w:rFonts w:ascii="Calibri" w:hAnsi="Calibri"/>
        </w:rPr>
        <w:sectPr w:rsidR="006F5F3C">
          <w:type w:val="continuous"/>
          <w:pgSz w:w="11910" w:h="16840"/>
          <w:pgMar w:top="1740" w:right="600" w:bottom="840" w:left="620" w:header="720" w:footer="720" w:gutter="0"/>
          <w:cols w:num="2" w:space="720" w:equalWidth="0">
            <w:col w:w="5214" w:space="138"/>
            <w:col w:w="5338"/>
          </w:cols>
        </w:sectPr>
      </w:pPr>
    </w:p>
    <w:p w:rsidR="006F5F3C" w:rsidRPr="007C2D68" w:rsidRDefault="006F5F3C" w:rsidP="007C2D68">
      <w:pPr>
        <w:pStyle w:val="NormalWeb"/>
        <w:spacing w:before="0" w:beforeAutospacing="0" w:after="0" w:afterAutospacing="0"/>
        <w:jc w:val="both"/>
        <w:rPr>
          <w:rFonts w:ascii="Tw Cen MT" w:hAnsi="Tw Cen MT"/>
          <w:b/>
          <w:bCs/>
          <w:sz w:val="20"/>
          <w:szCs w:val="20"/>
        </w:rPr>
        <w:sectPr w:rsidR="006F5F3C" w:rsidRPr="007C2D68">
          <w:type w:val="continuous"/>
          <w:pgSz w:w="11910" w:h="16840"/>
          <w:pgMar w:top="1740" w:right="600" w:bottom="840" w:left="620" w:header="720" w:footer="720" w:gutter="0"/>
          <w:cols w:space="720"/>
        </w:sectPr>
      </w:pPr>
    </w:p>
    <w:p w:rsidR="006F5F3C" w:rsidRPr="007C2D68" w:rsidRDefault="006F5F3C" w:rsidP="007C2D68">
      <w:pPr>
        <w:pStyle w:val="NormalWeb"/>
        <w:spacing w:before="0" w:beforeAutospacing="0" w:after="0" w:afterAutospacing="0"/>
        <w:jc w:val="both"/>
        <w:rPr>
          <w:rFonts w:ascii="Tw Cen MT" w:hAnsi="Tw Cen MT"/>
          <w:b/>
          <w:bCs/>
          <w:sz w:val="20"/>
          <w:szCs w:val="20"/>
        </w:rPr>
      </w:pPr>
    </w:p>
    <w:p w:rsidR="00F23110" w:rsidRDefault="00F23110"/>
    <w:sectPr w:rsidR="00F2311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656F" w:rsidRDefault="0003656F">
      <w:r>
        <w:separator/>
      </w:r>
    </w:p>
  </w:endnote>
  <w:endnote w:type="continuationSeparator" w:id="0">
    <w:p w:rsidR="0003656F" w:rsidRDefault="00036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6B60DD">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C08F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9C08F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52.1pt;margin-top:799.05pt;width:91.9pt;height:24.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9C08F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9C08F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656F" w:rsidRDefault="0003656F">
      <w:r>
        <w:separator/>
      </w:r>
    </w:p>
  </w:footnote>
  <w:footnote w:type="continuationSeparator" w:id="0">
    <w:p w:rsidR="0003656F" w:rsidRDefault="000365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6B60DD">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656F">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2nbJxrgIAAKkFAAAOAAAA&#10;AAAAAAAAAAAAAC4CAABkcnMvZTJvRG9jLnhtbFBLAQItABQABgAIAAAAIQDYaCrE3wAAAAoBAAAP&#10;AAAAAAAAAAAAAAAAAAgFAABkcnMvZG93bnJldi54bWxQSwUGAAAAAAQABADzAAAAFAYAAAAA&#10;" filled="f" stroked="f">
              <v:textbox inset="0,0,0,0">
                <w:txbxContent>
                  <w:p w:rsidR="00AE3E37" w:rsidRPr="005B3A56" w:rsidRDefault="0003656F">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C08F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9C08F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9C08F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9C08F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A40E3408"/>
    <w:lvl w:ilvl="0" w:tplc="6EBCB8A4">
      <w:start w:val="1"/>
      <w:numFmt w:val="decimal"/>
      <w:lvlText w:val="%1."/>
      <w:lvlJc w:val="left"/>
      <w:pPr>
        <w:ind w:left="383" w:hanging="284"/>
      </w:pPr>
      <w:rPr>
        <w:rFonts w:ascii="Calibri" w:eastAsia="Calibri" w:hAnsi="Calibri" w:cs="Calibri" w:hint="default"/>
        <w:color w:val="auto"/>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F3C"/>
    <w:rsid w:val="000239CB"/>
    <w:rsid w:val="00025095"/>
    <w:rsid w:val="00030E5C"/>
    <w:rsid w:val="0003656F"/>
    <w:rsid w:val="00057EF1"/>
    <w:rsid w:val="0007251F"/>
    <w:rsid w:val="001106C1"/>
    <w:rsid w:val="001118D0"/>
    <w:rsid w:val="00113D28"/>
    <w:rsid w:val="001E2548"/>
    <w:rsid w:val="002135F1"/>
    <w:rsid w:val="002626A7"/>
    <w:rsid w:val="00267090"/>
    <w:rsid w:val="00393620"/>
    <w:rsid w:val="003B0F9D"/>
    <w:rsid w:val="00414F13"/>
    <w:rsid w:val="00465EED"/>
    <w:rsid w:val="0049316E"/>
    <w:rsid w:val="004A2B2F"/>
    <w:rsid w:val="004B45D9"/>
    <w:rsid w:val="004C1995"/>
    <w:rsid w:val="00527DB6"/>
    <w:rsid w:val="00536866"/>
    <w:rsid w:val="005B7BBB"/>
    <w:rsid w:val="005C2F7A"/>
    <w:rsid w:val="005C719B"/>
    <w:rsid w:val="00603407"/>
    <w:rsid w:val="00616F2C"/>
    <w:rsid w:val="006B47F2"/>
    <w:rsid w:val="006B60DD"/>
    <w:rsid w:val="006F0796"/>
    <w:rsid w:val="006F5F3C"/>
    <w:rsid w:val="00796374"/>
    <w:rsid w:val="007C2D68"/>
    <w:rsid w:val="00806EEA"/>
    <w:rsid w:val="00824CB0"/>
    <w:rsid w:val="008476AB"/>
    <w:rsid w:val="008A51DF"/>
    <w:rsid w:val="009054BA"/>
    <w:rsid w:val="00962AF7"/>
    <w:rsid w:val="009C08F2"/>
    <w:rsid w:val="009D72B6"/>
    <w:rsid w:val="00A57378"/>
    <w:rsid w:val="00AB4B9E"/>
    <w:rsid w:val="00B03F58"/>
    <w:rsid w:val="00B33E11"/>
    <w:rsid w:val="00B42743"/>
    <w:rsid w:val="00B50305"/>
    <w:rsid w:val="00B9511C"/>
    <w:rsid w:val="00BA4EAA"/>
    <w:rsid w:val="00BB5953"/>
    <w:rsid w:val="00BF30AE"/>
    <w:rsid w:val="00C01B88"/>
    <w:rsid w:val="00C074F4"/>
    <w:rsid w:val="00C17505"/>
    <w:rsid w:val="00CC5AD5"/>
    <w:rsid w:val="00CE6417"/>
    <w:rsid w:val="00CF4C84"/>
    <w:rsid w:val="00D20708"/>
    <w:rsid w:val="00D55998"/>
    <w:rsid w:val="00D90423"/>
    <w:rsid w:val="00DD5C0B"/>
    <w:rsid w:val="00DE3782"/>
    <w:rsid w:val="00DF36E5"/>
    <w:rsid w:val="00F23110"/>
    <w:rsid w:val="00F46C5A"/>
    <w:rsid w:val="00F846A2"/>
    <w:rsid w:val="00FC1F1D"/>
    <w:rsid w:val="00FC7E2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69DC6B-EA1B-4D01-A899-04047782B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F5F3C"/>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6F5F3C"/>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F5F3C"/>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F5F3C"/>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6F5F3C"/>
    <w:rPr>
      <w:rFonts w:ascii="Arial" w:eastAsia="Arial" w:hAnsi="Arial" w:cs="Arial"/>
      <w:b/>
      <w:bCs/>
      <w:sz w:val="20"/>
      <w:szCs w:val="20"/>
    </w:rPr>
  </w:style>
  <w:style w:type="paragraph" w:styleId="BodyText">
    <w:name w:val="Body Text"/>
    <w:basedOn w:val="Normal"/>
    <w:link w:val="BodyTextChar"/>
    <w:uiPriority w:val="1"/>
    <w:qFormat/>
    <w:rsid w:val="006F5F3C"/>
    <w:rPr>
      <w:sz w:val="18"/>
      <w:szCs w:val="18"/>
    </w:rPr>
  </w:style>
  <w:style w:type="character" w:customStyle="1" w:styleId="BodyTextChar">
    <w:name w:val="Body Text Char"/>
    <w:basedOn w:val="DefaultParagraphFont"/>
    <w:link w:val="BodyText"/>
    <w:uiPriority w:val="1"/>
    <w:rsid w:val="006F5F3C"/>
    <w:rPr>
      <w:rFonts w:ascii="Tw Cen MT" w:eastAsia="Tw Cen MT" w:hAnsi="Tw Cen MT" w:cs="Tw Cen MT"/>
      <w:sz w:val="18"/>
      <w:szCs w:val="18"/>
    </w:rPr>
  </w:style>
  <w:style w:type="paragraph" w:styleId="ListParagraph">
    <w:name w:val="List Paragraph"/>
    <w:basedOn w:val="Normal"/>
    <w:uiPriority w:val="1"/>
    <w:qFormat/>
    <w:rsid w:val="006F5F3C"/>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6F5F3C"/>
    <w:rPr>
      <w:color w:val="0563C1" w:themeColor="hyperlink"/>
      <w:u w:val="single"/>
    </w:rPr>
  </w:style>
  <w:style w:type="paragraph" w:styleId="NormalWeb">
    <w:name w:val="Normal (Web)"/>
    <w:basedOn w:val="Normal"/>
    <w:uiPriority w:val="99"/>
    <w:unhideWhenUsed/>
    <w:rsid w:val="00CE6417"/>
    <w:pPr>
      <w:widowControl/>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DE3782"/>
    <w:pPr>
      <w:autoSpaceDE w:val="0"/>
      <w:autoSpaceDN w:val="0"/>
      <w:adjustRightInd w:val="0"/>
      <w:spacing w:after="240" w:line="240" w:lineRule="auto"/>
      <w:ind w:firstLine="360"/>
    </w:pPr>
    <w:rPr>
      <w:rFonts w:ascii="Arial" w:eastAsiaTheme="minorEastAsia" w:hAnsi="Arial" w:cs="Arial"/>
      <w:color w:val="000000"/>
      <w:sz w:val="24"/>
      <w:szCs w:val="24"/>
      <w:lang w:bidi="en-US"/>
    </w:rPr>
  </w:style>
  <w:style w:type="table" w:styleId="LightList-Accent3">
    <w:name w:val="Light List Accent 3"/>
    <w:basedOn w:val="TableNormal"/>
    <w:uiPriority w:val="61"/>
    <w:rsid w:val="00DE3782"/>
    <w:pPr>
      <w:spacing w:after="0" w:line="240" w:lineRule="auto"/>
      <w:ind w:firstLine="360"/>
    </w:pPr>
    <w:rPr>
      <w:rFonts w:eastAsiaTheme="minorEastAsia"/>
      <w:lang w:bidi="en-US"/>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TableGrid">
    <w:name w:val="Table Grid"/>
    <w:basedOn w:val="TableNormal"/>
    <w:uiPriority w:val="59"/>
    <w:rsid w:val="00DD5C0B"/>
    <w:pPr>
      <w:spacing w:after="240" w:line="240" w:lineRule="auto"/>
      <w:ind w:left="1440" w:right="216" w:firstLine="360"/>
      <w:jc w:val="right"/>
    </w:pPr>
    <w:rPr>
      <w:rFonts w:eastAsiaTheme="minorEastAsia"/>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20708"/>
    <w:rPr>
      <w:rFonts w:ascii="Tahoma" w:hAnsi="Tahoma" w:cs="Tahoma"/>
      <w:sz w:val="16"/>
      <w:szCs w:val="16"/>
    </w:rPr>
  </w:style>
  <w:style w:type="character" w:customStyle="1" w:styleId="BalloonTextChar">
    <w:name w:val="Balloon Text Char"/>
    <w:basedOn w:val="DefaultParagraphFont"/>
    <w:link w:val="BalloonText"/>
    <w:uiPriority w:val="99"/>
    <w:semiHidden/>
    <w:rsid w:val="00D20708"/>
    <w:rPr>
      <w:rFonts w:ascii="Tahoma" w:eastAsia="Tw Cen MT" w:hAnsi="Tahoma" w:cs="Tahoma"/>
      <w:sz w:val="16"/>
      <w:szCs w:val="16"/>
    </w:rPr>
  </w:style>
  <w:style w:type="paragraph" w:customStyle="1" w:styleId="Arial12">
    <w:name w:val="Arial 12"/>
    <w:basedOn w:val="Normal"/>
    <w:link w:val="Arial12Char"/>
    <w:rsid w:val="00603407"/>
    <w:pPr>
      <w:widowControl/>
      <w:spacing w:after="240" w:line="480" w:lineRule="auto"/>
      <w:ind w:firstLine="360"/>
      <w:jc w:val="both"/>
    </w:pPr>
    <w:rPr>
      <w:rFonts w:ascii="Arial" w:eastAsia="Times New Roman" w:hAnsi="Arial" w:cs="Times New Roman"/>
      <w:sz w:val="24"/>
      <w:szCs w:val="32"/>
      <w:lang w:eastAsia="en-GB" w:bidi="ar-AE"/>
    </w:rPr>
  </w:style>
  <w:style w:type="character" w:customStyle="1" w:styleId="Arial12Char">
    <w:name w:val="Arial 12 Char"/>
    <w:basedOn w:val="DefaultParagraphFont"/>
    <w:link w:val="Arial12"/>
    <w:rsid w:val="00603407"/>
    <w:rPr>
      <w:rFonts w:ascii="Arial" w:eastAsia="Times New Roman" w:hAnsi="Arial" w:cs="Times New Roman"/>
      <w:sz w:val="24"/>
      <w:szCs w:val="32"/>
      <w:lang w:eastAsia="en-GB" w:bidi="ar-AE"/>
    </w:rPr>
  </w:style>
  <w:style w:type="table" w:styleId="LightGrid-Accent5">
    <w:name w:val="Light Grid Accent 5"/>
    <w:basedOn w:val="TableNormal"/>
    <w:uiPriority w:val="62"/>
    <w:rsid w:val="00603407"/>
    <w:pPr>
      <w:spacing w:after="0" w:line="240" w:lineRule="auto"/>
      <w:ind w:firstLine="360"/>
    </w:pPr>
    <w:rPr>
      <w:rFonts w:eastAsiaTheme="minorEastAsia"/>
      <w:lang w:bidi="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04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2.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yam57@hotmail.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image" Target="media/image9.png"/><Relationship Id="rId10" Type="http://schemas.openxmlformats.org/officeDocument/2006/relationships/image" Target="media/image1.emf"/><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3.xml"/><Relationship Id="rId22" Type="http://schemas.openxmlformats.org/officeDocument/2006/relationships/image" Target="media/image8.png"/></Relationships>
</file>

<file path=word/charts/_rels/chart1.xml.rels><?xml version="1.0" encoding="UTF-8" standalone="yes"?>
<Relationships xmlns="http://schemas.openxmlformats.org/package/2006/relationships"><Relationship Id="rId1" Type="http://schemas.openxmlformats.org/officeDocument/2006/relationships/oleObject" Target="Book3"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3"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3"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layout>
        <c:manualLayout>
          <c:xMode val="edge"/>
          <c:yMode val="edge"/>
          <c:x val="0.39074357164583612"/>
          <c:y val="0"/>
        </c:manualLayout>
      </c:layout>
      <c:overlay val="0"/>
      <c:txPr>
        <a:bodyPr/>
        <a:lstStyle/>
        <a:p>
          <a:pPr>
            <a:defRPr sz="800"/>
          </a:pPr>
          <a:endParaRPr lang="en-US"/>
        </a:p>
      </c:txPr>
    </c:title>
    <c:autoTitleDeleted val="0"/>
    <c:plotArea>
      <c:layout>
        <c:manualLayout>
          <c:layoutTarget val="inner"/>
          <c:xMode val="edge"/>
          <c:yMode val="edge"/>
          <c:x val="9.2984563370256665E-2"/>
          <c:y val="0.17444727497298143"/>
          <c:w val="0.84436071957758863"/>
          <c:h val="0.53887370696310044"/>
        </c:manualLayout>
      </c:layout>
      <c:lineChart>
        <c:grouping val="standard"/>
        <c:varyColors val="0"/>
        <c:ser>
          <c:idx val="0"/>
          <c:order val="0"/>
          <c:tx>
            <c:strRef>
              <c:f>Sheet1!$B$1</c:f>
              <c:strCache>
                <c:ptCount val="1"/>
                <c:pt idx="0">
                  <c:v>Control</c:v>
                </c:pt>
              </c:strCache>
            </c:strRef>
          </c:tx>
          <c:spPr>
            <a:ln w="9525">
              <a:solidFill>
                <a:schemeClr val="tx1"/>
              </a:solidFill>
              <a:headEnd w="lg" len="lg"/>
              <a:tailEnd w="lg" len="lg"/>
            </a:ln>
          </c:spPr>
          <c:marker>
            <c:symbol val="none"/>
          </c:marker>
          <c:cat>
            <c:numRef>
              <c:f>Sheet1!$A$2:$A$24</c:f>
              <c:numCache>
                <c:formatCode>General</c:formatCode>
                <c:ptCount val="23"/>
                <c:pt idx="0">
                  <c:v>290</c:v>
                </c:pt>
                <c:pt idx="1">
                  <c:v>295</c:v>
                </c:pt>
                <c:pt idx="2">
                  <c:v>300</c:v>
                </c:pt>
                <c:pt idx="3">
                  <c:v>305</c:v>
                </c:pt>
                <c:pt idx="4">
                  <c:v>310</c:v>
                </c:pt>
                <c:pt idx="5">
                  <c:v>315</c:v>
                </c:pt>
                <c:pt idx="6">
                  <c:v>320</c:v>
                </c:pt>
                <c:pt idx="7">
                  <c:v>325</c:v>
                </c:pt>
                <c:pt idx="8">
                  <c:v>330</c:v>
                </c:pt>
                <c:pt idx="9">
                  <c:v>335</c:v>
                </c:pt>
                <c:pt idx="10">
                  <c:v>340</c:v>
                </c:pt>
                <c:pt idx="11">
                  <c:v>345</c:v>
                </c:pt>
                <c:pt idx="12">
                  <c:v>350</c:v>
                </c:pt>
                <c:pt idx="13">
                  <c:v>355</c:v>
                </c:pt>
                <c:pt idx="14">
                  <c:v>360</c:v>
                </c:pt>
                <c:pt idx="15">
                  <c:v>365</c:v>
                </c:pt>
                <c:pt idx="16">
                  <c:v>370</c:v>
                </c:pt>
                <c:pt idx="17">
                  <c:v>375</c:v>
                </c:pt>
                <c:pt idx="18">
                  <c:v>380</c:v>
                </c:pt>
                <c:pt idx="19">
                  <c:v>385</c:v>
                </c:pt>
                <c:pt idx="20">
                  <c:v>390</c:v>
                </c:pt>
                <c:pt idx="21">
                  <c:v>395</c:v>
                </c:pt>
                <c:pt idx="22">
                  <c:v>400</c:v>
                </c:pt>
              </c:numCache>
            </c:numRef>
          </c:cat>
          <c:val>
            <c:numRef>
              <c:f>Sheet1!$B$2:$B$24</c:f>
              <c:numCache>
                <c:formatCode>General</c:formatCode>
                <c:ptCount val="23"/>
                <c:pt idx="0">
                  <c:v>1.9530000000000001</c:v>
                </c:pt>
                <c:pt idx="1">
                  <c:v>1.633</c:v>
                </c:pt>
                <c:pt idx="2">
                  <c:v>1.5960000000000001</c:v>
                </c:pt>
                <c:pt idx="3">
                  <c:v>1.575</c:v>
                </c:pt>
                <c:pt idx="4">
                  <c:v>1.5860000000000001</c:v>
                </c:pt>
                <c:pt idx="5">
                  <c:v>1.6</c:v>
                </c:pt>
                <c:pt idx="6">
                  <c:v>0.78</c:v>
                </c:pt>
                <c:pt idx="7">
                  <c:v>0.77300000000000135</c:v>
                </c:pt>
                <c:pt idx="8">
                  <c:v>0.77700000000000158</c:v>
                </c:pt>
                <c:pt idx="9">
                  <c:v>0.77900000000000158</c:v>
                </c:pt>
                <c:pt idx="10">
                  <c:v>0.78600000000000003</c:v>
                </c:pt>
                <c:pt idx="11">
                  <c:v>0.78600000000000003</c:v>
                </c:pt>
                <c:pt idx="12">
                  <c:v>0.79200000000000004</c:v>
                </c:pt>
                <c:pt idx="13">
                  <c:v>1.3169999999999975</c:v>
                </c:pt>
                <c:pt idx="14">
                  <c:v>1.319</c:v>
                </c:pt>
                <c:pt idx="15">
                  <c:v>1.6339999999999972</c:v>
                </c:pt>
                <c:pt idx="16">
                  <c:v>1.3169999999999975</c:v>
                </c:pt>
                <c:pt idx="17">
                  <c:v>1.3160000000000001</c:v>
                </c:pt>
                <c:pt idx="18">
                  <c:v>1.3169999999999975</c:v>
                </c:pt>
                <c:pt idx="19">
                  <c:v>1.335</c:v>
                </c:pt>
                <c:pt idx="20">
                  <c:v>1.341</c:v>
                </c:pt>
                <c:pt idx="21">
                  <c:v>1.347</c:v>
                </c:pt>
                <c:pt idx="22">
                  <c:v>1.3560000000000001</c:v>
                </c:pt>
              </c:numCache>
            </c:numRef>
          </c:val>
          <c:smooth val="0"/>
        </c:ser>
        <c:dLbls>
          <c:showLegendKey val="0"/>
          <c:showVal val="0"/>
          <c:showCatName val="0"/>
          <c:showSerName val="0"/>
          <c:showPercent val="0"/>
          <c:showBubbleSize val="0"/>
        </c:dLbls>
        <c:smooth val="0"/>
        <c:axId val="519103152"/>
        <c:axId val="715273776"/>
      </c:lineChart>
      <c:catAx>
        <c:axId val="519103152"/>
        <c:scaling>
          <c:orientation val="minMax"/>
        </c:scaling>
        <c:delete val="0"/>
        <c:axPos val="b"/>
        <c:numFmt formatCode="General" sourceLinked="1"/>
        <c:majorTickMark val="none"/>
        <c:minorTickMark val="none"/>
        <c:tickLblPos val="nextTo"/>
        <c:txPr>
          <a:bodyPr/>
          <a:lstStyle/>
          <a:p>
            <a:pPr>
              <a:defRPr sz="400"/>
            </a:pPr>
            <a:endParaRPr lang="en-US"/>
          </a:p>
        </c:txPr>
        <c:crossAx val="715273776"/>
        <c:crosses val="autoZero"/>
        <c:auto val="1"/>
        <c:lblAlgn val="ctr"/>
        <c:lblOffset val="100"/>
        <c:noMultiLvlLbl val="0"/>
      </c:catAx>
      <c:valAx>
        <c:axId val="715273776"/>
        <c:scaling>
          <c:orientation val="minMax"/>
        </c:scaling>
        <c:delete val="0"/>
        <c:axPos val="l"/>
        <c:numFmt formatCode="General" sourceLinked="1"/>
        <c:majorTickMark val="none"/>
        <c:minorTickMark val="none"/>
        <c:tickLblPos val="nextTo"/>
        <c:txPr>
          <a:bodyPr/>
          <a:lstStyle/>
          <a:p>
            <a:pPr>
              <a:defRPr sz="500"/>
            </a:pPr>
            <a:endParaRPr lang="en-US"/>
          </a:p>
        </c:txPr>
        <c:crossAx val="519103152"/>
        <c:crosses val="autoZero"/>
        <c:crossBetween val="between"/>
      </c:valAx>
      <c:spPr>
        <a:solidFill>
          <a:schemeClr val="bg1"/>
        </a:solidFill>
      </c:spPr>
    </c:plotArea>
    <c:plotVisOnly val="1"/>
    <c:dispBlanksAs val="gap"/>
    <c:showDLblsOverMax val="0"/>
  </c:chart>
  <c:txPr>
    <a:bodyPr/>
    <a:lstStyle/>
    <a:p>
      <a:pPr>
        <a:defRPr sz="1800"/>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a:lstStyle/>
          <a:p>
            <a:pPr>
              <a:defRPr sz="800"/>
            </a:pPr>
            <a:r>
              <a:rPr lang="en-US" sz="800"/>
              <a:t>Standard</a:t>
            </a:r>
          </a:p>
        </c:rich>
      </c:tx>
      <c:layout>
        <c:manualLayout>
          <c:xMode val="edge"/>
          <c:yMode val="edge"/>
          <c:x val="0.39771396412786708"/>
          <c:y val="0"/>
        </c:manualLayout>
      </c:layout>
      <c:overlay val="0"/>
    </c:title>
    <c:autoTitleDeleted val="0"/>
    <c:plotArea>
      <c:layout>
        <c:manualLayout>
          <c:layoutTarget val="inner"/>
          <c:xMode val="edge"/>
          <c:yMode val="edge"/>
          <c:x val="9.957551602346007E-2"/>
          <c:y val="0.15870591993992292"/>
          <c:w val="0.86689301011584863"/>
          <c:h val="0.59908945536947988"/>
        </c:manualLayout>
      </c:layout>
      <c:lineChart>
        <c:grouping val="standard"/>
        <c:varyColors val="0"/>
        <c:ser>
          <c:idx val="0"/>
          <c:order val="0"/>
          <c:tx>
            <c:strRef>
              <c:f>Sheet1!$B$26</c:f>
              <c:strCache>
                <c:ptCount val="1"/>
                <c:pt idx="0">
                  <c:v>Standard</c:v>
                </c:pt>
              </c:strCache>
            </c:strRef>
          </c:tx>
          <c:spPr>
            <a:ln w="9525">
              <a:solidFill>
                <a:schemeClr val="tx1"/>
              </a:solidFill>
              <a:headEnd w="lg" len="lg"/>
              <a:tailEnd w="lg" len="lg"/>
            </a:ln>
          </c:spPr>
          <c:marker>
            <c:symbol val="none"/>
          </c:marker>
          <c:cat>
            <c:numRef>
              <c:f>Sheet1!$A$27:$A$49</c:f>
              <c:numCache>
                <c:formatCode>General</c:formatCode>
                <c:ptCount val="23"/>
                <c:pt idx="0">
                  <c:v>290</c:v>
                </c:pt>
                <c:pt idx="1">
                  <c:v>295</c:v>
                </c:pt>
                <c:pt idx="2">
                  <c:v>300</c:v>
                </c:pt>
                <c:pt idx="3">
                  <c:v>305</c:v>
                </c:pt>
                <c:pt idx="4">
                  <c:v>310</c:v>
                </c:pt>
                <c:pt idx="5">
                  <c:v>315</c:v>
                </c:pt>
                <c:pt idx="6">
                  <c:v>320</c:v>
                </c:pt>
                <c:pt idx="7">
                  <c:v>325</c:v>
                </c:pt>
                <c:pt idx="8">
                  <c:v>330</c:v>
                </c:pt>
                <c:pt idx="9">
                  <c:v>335</c:v>
                </c:pt>
                <c:pt idx="10">
                  <c:v>340</c:v>
                </c:pt>
                <c:pt idx="11">
                  <c:v>345</c:v>
                </c:pt>
                <c:pt idx="12">
                  <c:v>350</c:v>
                </c:pt>
                <c:pt idx="13">
                  <c:v>355</c:v>
                </c:pt>
                <c:pt idx="14">
                  <c:v>360</c:v>
                </c:pt>
                <c:pt idx="15">
                  <c:v>365</c:v>
                </c:pt>
                <c:pt idx="16">
                  <c:v>370</c:v>
                </c:pt>
                <c:pt idx="17">
                  <c:v>375</c:v>
                </c:pt>
                <c:pt idx="18">
                  <c:v>380</c:v>
                </c:pt>
                <c:pt idx="19">
                  <c:v>385</c:v>
                </c:pt>
                <c:pt idx="20">
                  <c:v>390</c:v>
                </c:pt>
                <c:pt idx="21">
                  <c:v>395</c:v>
                </c:pt>
                <c:pt idx="22">
                  <c:v>400</c:v>
                </c:pt>
              </c:numCache>
            </c:numRef>
          </c:cat>
          <c:val>
            <c:numRef>
              <c:f>Sheet1!$B$27:$B$49</c:f>
              <c:numCache>
                <c:formatCode>General</c:formatCode>
                <c:ptCount val="23"/>
                <c:pt idx="0">
                  <c:v>2.3449999999999998</c:v>
                </c:pt>
                <c:pt idx="1">
                  <c:v>2.266</c:v>
                </c:pt>
                <c:pt idx="2">
                  <c:v>2.948</c:v>
                </c:pt>
                <c:pt idx="3">
                  <c:v>2.3609999999999998</c:v>
                </c:pt>
                <c:pt idx="4">
                  <c:v>2.25</c:v>
                </c:pt>
                <c:pt idx="5">
                  <c:v>2.073</c:v>
                </c:pt>
                <c:pt idx="6">
                  <c:v>2.9389999999999987</c:v>
                </c:pt>
                <c:pt idx="7">
                  <c:v>2.02</c:v>
                </c:pt>
                <c:pt idx="8">
                  <c:v>1.7969999999999975</c:v>
                </c:pt>
                <c:pt idx="9">
                  <c:v>1.623</c:v>
                </c:pt>
                <c:pt idx="10">
                  <c:v>1.5820000000000001</c:v>
                </c:pt>
                <c:pt idx="11">
                  <c:v>1.534</c:v>
                </c:pt>
                <c:pt idx="12">
                  <c:v>1.4139999999999946</c:v>
                </c:pt>
                <c:pt idx="13">
                  <c:v>1.425999999999995</c:v>
                </c:pt>
                <c:pt idx="14">
                  <c:v>1.3380000000000001</c:v>
                </c:pt>
                <c:pt idx="15">
                  <c:v>1.3180000000000001</c:v>
                </c:pt>
                <c:pt idx="16">
                  <c:v>1.298</c:v>
                </c:pt>
                <c:pt idx="17">
                  <c:v>1.2749999999999972</c:v>
                </c:pt>
                <c:pt idx="18">
                  <c:v>1.2569999999999972</c:v>
                </c:pt>
                <c:pt idx="19">
                  <c:v>1.252</c:v>
                </c:pt>
                <c:pt idx="20">
                  <c:v>1.2489999999999974</c:v>
                </c:pt>
                <c:pt idx="21">
                  <c:v>1.2429999999999974</c:v>
                </c:pt>
                <c:pt idx="22">
                  <c:v>1.2429999999999974</c:v>
                </c:pt>
              </c:numCache>
            </c:numRef>
          </c:val>
          <c:smooth val="0"/>
        </c:ser>
        <c:dLbls>
          <c:showLegendKey val="0"/>
          <c:showVal val="0"/>
          <c:showCatName val="0"/>
          <c:showSerName val="0"/>
          <c:showPercent val="0"/>
          <c:showBubbleSize val="0"/>
        </c:dLbls>
        <c:smooth val="0"/>
        <c:axId val="715274560"/>
        <c:axId val="715274952"/>
      </c:lineChart>
      <c:catAx>
        <c:axId val="715274560"/>
        <c:scaling>
          <c:orientation val="minMax"/>
        </c:scaling>
        <c:delete val="0"/>
        <c:axPos val="b"/>
        <c:numFmt formatCode="General" sourceLinked="1"/>
        <c:majorTickMark val="none"/>
        <c:minorTickMark val="none"/>
        <c:tickLblPos val="nextTo"/>
        <c:txPr>
          <a:bodyPr rot="0" vert="horz"/>
          <a:lstStyle/>
          <a:p>
            <a:pPr>
              <a:defRPr sz="400"/>
            </a:pPr>
            <a:endParaRPr lang="en-US"/>
          </a:p>
        </c:txPr>
        <c:crossAx val="715274952"/>
        <c:crosses val="autoZero"/>
        <c:auto val="0"/>
        <c:lblAlgn val="ctr"/>
        <c:lblOffset val="100"/>
        <c:noMultiLvlLbl val="0"/>
      </c:catAx>
      <c:valAx>
        <c:axId val="715274952"/>
        <c:scaling>
          <c:orientation val="minMax"/>
        </c:scaling>
        <c:delete val="0"/>
        <c:axPos val="l"/>
        <c:numFmt formatCode="General" sourceLinked="1"/>
        <c:majorTickMark val="none"/>
        <c:minorTickMark val="none"/>
        <c:tickLblPos val="nextTo"/>
        <c:txPr>
          <a:bodyPr/>
          <a:lstStyle/>
          <a:p>
            <a:pPr>
              <a:defRPr sz="500"/>
            </a:pPr>
            <a:endParaRPr lang="en-US"/>
          </a:p>
        </c:txPr>
        <c:crossAx val="715274560"/>
        <c:crosses val="autoZero"/>
        <c:crossBetween val="between"/>
      </c:valAx>
      <c:spPr>
        <a:solidFill>
          <a:prstClr val="white"/>
        </a:solidFill>
      </c:spPr>
    </c:plotArea>
    <c:plotVisOnly val="1"/>
    <c:dispBlanksAs val="gap"/>
    <c:showDLblsOverMax val="0"/>
  </c:chart>
  <c:spPr>
    <a:ln>
      <a:solidFill>
        <a:schemeClr val="tx1"/>
      </a:solidFill>
    </a:ln>
  </c:spPr>
  <c:txPr>
    <a:bodyPr/>
    <a:lstStyle/>
    <a:p>
      <a:pPr>
        <a:defRPr sz="1800"/>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a:lstStyle/>
          <a:p>
            <a:pPr algn="r">
              <a:defRPr sz="800"/>
            </a:pPr>
            <a:r>
              <a:rPr lang="en-US" sz="800" dirty="0"/>
              <a:t>Test </a:t>
            </a:r>
            <a:r>
              <a:rPr lang="en-US" sz="800" dirty="0" smtClean="0"/>
              <a:t>1% cream </a:t>
            </a:r>
            <a:endParaRPr lang="en-US" sz="800" dirty="0"/>
          </a:p>
        </c:rich>
      </c:tx>
      <c:layout>
        <c:manualLayout>
          <c:xMode val="edge"/>
          <c:yMode val="edge"/>
          <c:x val="0.33037518527820087"/>
          <c:y val="0"/>
        </c:manualLayout>
      </c:layout>
      <c:overlay val="0"/>
    </c:title>
    <c:autoTitleDeleted val="0"/>
    <c:plotArea>
      <c:layout>
        <c:manualLayout>
          <c:layoutTarget val="inner"/>
          <c:xMode val="edge"/>
          <c:yMode val="edge"/>
          <c:x val="9.8629968960500441E-2"/>
          <c:y val="0.1545503049749487"/>
          <c:w val="0.83162281045462139"/>
          <c:h val="0.48366353703274528"/>
        </c:manualLayout>
      </c:layout>
      <c:lineChart>
        <c:grouping val="standard"/>
        <c:varyColors val="0"/>
        <c:ser>
          <c:idx val="0"/>
          <c:order val="0"/>
          <c:tx>
            <c:strRef>
              <c:f>Sheet1!$B$77</c:f>
              <c:strCache>
                <c:ptCount val="1"/>
                <c:pt idx="0">
                  <c:v>Test 20%</c:v>
                </c:pt>
              </c:strCache>
            </c:strRef>
          </c:tx>
          <c:spPr>
            <a:ln w="9525">
              <a:solidFill>
                <a:schemeClr val="tx1"/>
              </a:solidFill>
              <a:headEnd w="lg" len="lg"/>
              <a:tailEnd w="lg" len="lg"/>
            </a:ln>
          </c:spPr>
          <c:marker>
            <c:symbol val="none"/>
          </c:marker>
          <c:cat>
            <c:numRef>
              <c:f>Sheet1!$A$78:$A$100</c:f>
              <c:numCache>
                <c:formatCode>General</c:formatCode>
                <c:ptCount val="23"/>
                <c:pt idx="0">
                  <c:v>290</c:v>
                </c:pt>
                <c:pt idx="1">
                  <c:v>295</c:v>
                </c:pt>
                <c:pt idx="2">
                  <c:v>300</c:v>
                </c:pt>
                <c:pt idx="3">
                  <c:v>305</c:v>
                </c:pt>
                <c:pt idx="4">
                  <c:v>310</c:v>
                </c:pt>
                <c:pt idx="5">
                  <c:v>315</c:v>
                </c:pt>
                <c:pt idx="6">
                  <c:v>320</c:v>
                </c:pt>
                <c:pt idx="7">
                  <c:v>325</c:v>
                </c:pt>
                <c:pt idx="8">
                  <c:v>330</c:v>
                </c:pt>
                <c:pt idx="9">
                  <c:v>335</c:v>
                </c:pt>
                <c:pt idx="10">
                  <c:v>340</c:v>
                </c:pt>
                <c:pt idx="11">
                  <c:v>345</c:v>
                </c:pt>
                <c:pt idx="12">
                  <c:v>350</c:v>
                </c:pt>
                <c:pt idx="13">
                  <c:v>355</c:v>
                </c:pt>
                <c:pt idx="14">
                  <c:v>360</c:v>
                </c:pt>
                <c:pt idx="15">
                  <c:v>365</c:v>
                </c:pt>
                <c:pt idx="16">
                  <c:v>370</c:v>
                </c:pt>
                <c:pt idx="17">
                  <c:v>375</c:v>
                </c:pt>
                <c:pt idx="18">
                  <c:v>380</c:v>
                </c:pt>
                <c:pt idx="19">
                  <c:v>385</c:v>
                </c:pt>
                <c:pt idx="20">
                  <c:v>390</c:v>
                </c:pt>
                <c:pt idx="21">
                  <c:v>395</c:v>
                </c:pt>
                <c:pt idx="22">
                  <c:v>400</c:v>
                </c:pt>
              </c:numCache>
            </c:numRef>
          </c:cat>
          <c:val>
            <c:numRef>
              <c:f>Sheet1!$B$80:$B$100</c:f>
              <c:numCache>
                <c:formatCode>General</c:formatCode>
                <c:ptCount val="21"/>
                <c:pt idx="0">
                  <c:v>3.23</c:v>
                </c:pt>
                <c:pt idx="1">
                  <c:v>2.5299999999999998</c:v>
                </c:pt>
                <c:pt idx="2">
                  <c:v>2.8499999999999988</c:v>
                </c:pt>
                <c:pt idx="3">
                  <c:v>2.5499999999999998</c:v>
                </c:pt>
                <c:pt idx="4">
                  <c:v>2.3499999999999988</c:v>
                </c:pt>
                <c:pt idx="5">
                  <c:v>2.44</c:v>
                </c:pt>
                <c:pt idx="6">
                  <c:v>2.5099999999999998</c:v>
                </c:pt>
                <c:pt idx="7">
                  <c:v>2.57</c:v>
                </c:pt>
                <c:pt idx="8">
                  <c:v>2.59</c:v>
                </c:pt>
                <c:pt idx="9">
                  <c:v>2.44</c:v>
                </c:pt>
                <c:pt idx="10">
                  <c:v>2.4699999999999998</c:v>
                </c:pt>
                <c:pt idx="11">
                  <c:v>2.36</c:v>
                </c:pt>
                <c:pt idx="12">
                  <c:v>2.3099999999999987</c:v>
                </c:pt>
                <c:pt idx="13">
                  <c:v>2.16</c:v>
                </c:pt>
                <c:pt idx="14">
                  <c:v>2.0699999999999998</c:v>
                </c:pt>
                <c:pt idx="15">
                  <c:v>2.04</c:v>
                </c:pt>
                <c:pt idx="16">
                  <c:v>2.02</c:v>
                </c:pt>
                <c:pt idx="17">
                  <c:v>1.9900000000000031</c:v>
                </c:pt>
                <c:pt idx="18">
                  <c:v>1.9800000000000031</c:v>
                </c:pt>
                <c:pt idx="19">
                  <c:v>1.77</c:v>
                </c:pt>
                <c:pt idx="20">
                  <c:v>1.72</c:v>
                </c:pt>
              </c:numCache>
            </c:numRef>
          </c:val>
          <c:smooth val="0"/>
        </c:ser>
        <c:dLbls>
          <c:showLegendKey val="0"/>
          <c:showVal val="0"/>
          <c:showCatName val="0"/>
          <c:showSerName val="0"/>
          <c:showPercent val="0"/>
          <c:showBubbleSize val="0"/>
        </c:dLbls>
        <c:smooth val="0"/>
        <c:axId val="925395088"/>
        <c:axId val="925395480"/>
      </c:lineChart>
      <c:catAx>
        <c:axId val="925395088"/>
        <c:scaling>
          <c:orientation val="minMax"/>
        </c:scaling>
        <c:delete val="0"/>
        <c:axPos val="b"/>
        <c:numFmt formatCode="General" sourceLinked="1"/>
        <c:majorTickMark val="none"/>
        <c:minorTickMark val="none"/>
        <c:tickLblPos val="nextTo"/>
        <c:txPr>
          <a:bodyPr/>
          <a:lstStyle/>
          <a:p>
            <a:pPr>
              <a:defRPr sz="500"/>
            </a:pPr>
            <a:endParaRPr lang="en-US"/>
          </a:p>
        </c:txPr>
        <c:crossAx val="925395480"/>
        <c:crosses val="autoZero"/>
        <c:auto val="1"/>
        <c:lblAlgn val="ctr"/>
        <c:lblOffset val="100"/>
        <c:noMultiLvlLbl val="0"/>
      </c:catAx>
      <c:valAx>
        <c:axId val="925395480"/>
        <c:scaling>
          <c:orientation val="minMax"/>
        </c:scaling>
        <c:delete val="0"/>
        <c:axPos val="l"/>
        <c:numFmt formatCode="General" sourceLinked="1"/>
        <c:majorTickMark val="none"/>
        <c:minorTickMark val="none"/>
        <c:tickLblPos val="nextTo"/>
        <c:txPr>
          <a:bodyPr/>
          <a:lstStyle/>
          <a:p>
            <a:pPr>
              <a:defRPr sz="500"/>
            </a:pPr>
            <a:endParaRPr lang="en-US"/>
          </a:p>
        </c:txPr>
        <c:crossAx val="925395088"/>
        <c:crosses val="autoZero"/>
        <c:crossBetween val="between"/>
      </c:valAx>
      <c:spPr>
        <a:solidFill>
          <a:prstClr val="white"/>
        </a:solidFill>
      </c:spPr>
    </c:plotArea>
    <c:plotVisOnly val="1"/>
    <c:dispBlanksAs val="gap"/>
    <c:showDLblsOverMax val="0"/>
  </c:chart>
  <c:txPr>
    <a:bodyPr/>
    <a:lstStyle/>
    <a:p>
      <a:pPr>
        <a:defRPr sz="1800"/>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a:lstStyle/>
          <a:p>
            <a:pPr>
              <a:defRPr sz="800"/>
            </a:pPr>
            <a:r>
              <a:rPr lang="en-US" sz="800"/>
              <a:t>Test 1.5% cream</a:t>
            </a:r>
          </a:p>
        </c:rich>
      </c:tx>
      <c:layout>
        <c:manualLayout>
          <c:xMode val="edge"/>
          <c:yMode val="edge"/>
          <c:x val="0.33294564741907273"/>
          <c:y val="0"/>
        </c:manualLayout>
      </c:layout>
      <c:overlay val="0"/>
    </c:title>
    <c:autoTitleDeleted val="0"/>
    <c:plotArea>
      <c:layout>
        <c:manualLayout>
          <c:layoutTarget val="inner"/>
          <c:xMode val="edge"/>
          <c:yMode val="edge"/>
          <c:x val="7.5615339749198013E-2"/>
          <c:y val="0.15808604002624682"/>
          <c:w val="0.89342847769028877"/>
          <c:h val="0.47747573371510371"/>
        </c:manualLayout>
      </c:layout>
      <c:lineChart>
        <c:grouping val="standard"/>
        <c:varyColors val="0"/>
        <c:ser>
          <c:idx val="0"/>
          <c:order val="0"/>
          <c:tx>
            <c:strRef>
              <c:f>Sheet1!$B$51</c:f>
              <c:strCache>
                <c:ptCount val="1"/>
                <c:pt idx="0">
                  <c:v>Test 10%</c:v>
                </c:pt>
              </c:strCache>
            </c:strRef>
          </c:tx>
          <c:spPr>
            <a:ln w="9525">
              <a:solidFill>
                <a:schemeClr val="tx1"/>
              </a:solidFill>
              <a:headEnd w="lg" len="lg"/>
              <a:tailEnd w="lg" len="lg"/>
            </a:ln>
          </c:spPr>
          <c:marker>
            <c:symbol val="none"/>
          </c:marker>
          <c:cat>
            <c:numRef>
              <c:f>Sheet1!$A$52:$A$74</c:f>
              <c:numCache>
                <c:formatCode>General</c:formatCode>
                <c:ptCount val="23"/>
                <c:pt idx="0">
                  <c:v>290</c:v>
                </c:pt>
                <c:pt idx="1">
                  <c:v>295</c:v>
                </c:pt>
                <c:pt idx="2">
                  <c:v>300</c:v>
                </c:pt>
                <c:pt idx="3">
                  <c:v>305</c:v>
                </c:pt>
                <c:pt idx="4">
                  <c:v>310</c:v>
                </c:pt>
                <c:pt idx="5">
                  <c:v>315</c:v>
                </c:pt>
                <c:pt idx="6">
                  <c:v>320</c:v>
                </c:pt>
                <c:pt idx="7">
                  <c:v>325</c:v>
                </c:pt>
                <c:pt idx="8">
                  <c:v>330</c:v>
                </c:pt>
                <c:pt idx="9">
                  <c:v>335</c:v>
                </c:pt>
                <c:pt idx="10">
                  <c:v>340</c:v>
                </c:pt>
                <c:pt idx="11">
                  <c:v>345</c:v>
                </c:pt>
                <c:pt idx="12">
                  <c:v>350</c:v>
                </c:pt>
                <c:pt idx="13">
                  <c:v>355</c:v>
                </c:pt>
                <c:pt idx="14">
                  <c:v>360</c:v>
                </c:pt>
                <c:pt idx="15">
                  <c:v>365</c:v>
                </c:pt>
                <c:pt idx="16">
                  <c:v>370</c:v>
                </c:pt>
                <c:pt idx="17">
                  <c:v>375</c:v>
                </c:pt>
                <c:pt idx="18">
                  <c:v>380</c:v>
                </c:pt>
                <c:pt idx="19">
                  <c:v>385</c:v>
                </c:pt>
                <c:pt idx="20">
                  <c:v>390</c:v>
                </c:pt>
                <c:pt idx="21">
                  <c:v>395</c:v>
                </c:pt>
                <c:pt idx="22">
                  <c:v>400</c:v>
                </c:pt>
              </c:numCache>
            </c:numRef>
          </c:cat>
          <c:val>
            <c:numRef>
              <c:f>Sheet1!$B$52:$B$74</c:f>
              <c:numCache>
                <c:formatCode>General</c:formatCode>
                <c:ptCount val="23"/>
                <c:pt idx="0">
                  <c:v>2.3789999999999987</c:v>
                </c:pt>
                <c:pt idx="1">
                  <c:v>2.8499999999999988</c:v>
                </c:pt>
                <c:pt idx="2">
                  <c:v>3.22</c:v>
                </c:pt>
                <c:pt idx="3">
                  <c:v>2.407</c:v>
                </c:pt>
                <c:pt idx="4">
                  <c:v>2.3379999999999987</c:v>
                </c:pt>
                <c:pt idx="5">
                  <c:v>2.274</c:v>
                </c:pt>
                <c:pt idx="6">
                  <c:v>2.202</c:v>
                </c:pt>
                <c:pt idx="7">
                  <c:v>2.214</c:v>
                </c:pt>
                <c:pt idx="8">
                  <c:v>2.3109999999999977</c:v>
                </c:pt>
                <c:pt idx="9">
                  <c:v>2.2930000000000001</c:v>
                </c:pt>
                <c:pt idx="10">
                  <c:v>2.3259999999999987</c:v>
                </c:pt>
                <c:pt idx="11">
                  <c:v>2.3119999999999967</c:v>
                </c:pt>
                <c:pt idx="12">
                  <c:v>2.4129999999999967</c:v>
                </c:pt>
                <c:pt idx="13">
                  <c:v>2.4729999999999968</c:v>
                </c:pt>
                <c:pt idx="14">
                  <c:v>2.44</c:v>
                </c:pt>
                <c:pt idx="15">
                  <c:v>2.4689999999999999</c:v>
                </c:pt>
                <c:pt idx="16">
                  <c:v>2.4549999999999987</c:v>
                </c:pt>
                <c:pt idx="17">
                  <c:v>2.5099999999999998</c:v>
                </c:pt>
                <c:pt idx="18">
                  <c:v>2.4209999999999998</c:v>
                </c:pt>
                <c:pt idx="19">
                  <c:v>2.0159999999999987</c:v>
                </c:pt>
                <c:pt idx="20">
                  <c:v>1.6859999999999975</c:v>
                </c:pt>
                <c:pt idx="21">
                  <c:v>1.575</c:v>
                </c:pt>
                <c:pt idx="22">
                  <c:v>1.526</c:v>
                </c:pt>
              </c:numCache>
            </c:numRef>
          </c:val>
          <c:smooth val="0"/>
        </c:ser>
        <c:dLbls>
          <c:showLegendKey val="0"/>
          <c:showVal val="0"/>
          <c:showCatName val="0"/>
          <c:showSerName val="0"/>
          <c:showPercent val="0"/>
          <c:showBubbleSize val="0"/>
        </c:dLbls>
        <c:smooth val="0"/>
        <c:axId val="925396264"/>
        <c:axId val="925396656"/>
      </c:lineChart>
      <c:catAx>
        <c:axId val="925396264"/>
        <c:scaling>
          <c:orientation val="minMax"/>
        </c:scaling>
        <c:delete val="0"/>
        <c:axPos val="b"/>
        <c:numFmt formatCode="General" sourceLinked="1"/>
        <c:majorTickMark val="none"/>
        <c:minorTickMark val="none"/>
        <c:tickLblPos val="nextTo"/>
        <c:txPr>
          <a:bodyPr/>
          <a:lstStyle/>
          <a:p>
            <a:pPr>
              <a:defRPr sz="500"/>
            </a:pPr>
            <a:endParaRPr lang="en-US"/>
          </a:p>
        </c:txPr>
        <c:crossAx val="925396656"/>
        <c:crosses val="autoZero"/>
        <c:auto val="1"/>
        <c:lblAlgn val="ctr"/>
        <c:lblOffset val="100"/>
        <c:noMultiLvlLbl val="0"/>
      </c:catAx>
      <c:valAx>
        <c:axId val="925396656"/>
        <c:scaling>
          <c:orientation val="minMax"/>
        </c:scaling>
        <c:delete val="0"/>
        <c:axPos val="l"/>
        <c:numFmt formatCode="General" sourceLinked="1"/>
        <c:majorTickMark val="none"/>
        <c:minorTickMark val="none"/>
        <c:tickLblPos val="nextTo"/>
        <c:txPr>
          <a:bodyPr/>
          <a:lstStyle/>
          <a:p>
            <a:pPr>
              <a:defRPr sz="500"/>
            </a:pPr>
            <a:endParaRPr lang="en-US"/>
          </a:p>
        </c:txPr>
        <c:crossAx val="925396264"/>
        <c:crosses val="autoZero"/>
        <c:crossBetween val="between"/>
      </c:valAx>
      <c:spPr>
        <a:solidFill>
          <a:prstClr val="white"/>
        </a:solidFill>
      </c:spPr>
    </c:plotArea>
    <c:plotVisOnly val="1"/>
    <c:dispBlanksAs val="gap"/>
    <c:showDLblsOverMax val="0"/>
  </c:chart>
  <c:txPr>
    <a:bodyPr/>
    <a:lstStyle/>
    <a:p>
      <a:pPr>
        <a:defRPr sz="180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42430-AC95-4AD7-9F3C-DA892EEBF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2017-01-26T19:12:00Z</dcterms:created>
  <dcterms:modified xsi:type="dcterms:W3CDTF">2017-01-26T19:47:00Z</dcterms:modified>
</cp:coreProperties>
</file>