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214" w:rsidRDefault="00254214" w:rsidP="0046687C">
      <w:pPr>
        <w:jc w:val="center"/>
        <w:rPr>
          <w:rFonts w:ascii="New-Baskerville-SemiBoldA" w:cs="New-Baskerville-SemiBoldA"/>
          <w:b/>
          <w:bCs/>
          <w:color w:val="292526"/>
          <w:sz w:val="30"/>
          <w:szCs w:val="30"/>
        </w:rPr>
      </w:pPr>
      <w:r>
        <w:rPr>
          <w:rFonts w:ascii="New-Baskerville-SemiBoldA" w:cs="New-Baskerville-SemiBoldA"/>
          <w:b/>
          <w:bCs/>
          <w:color w:val="292526"/>
          <w:sz w:val="30"/>
          <w:szCs w:val="30"/>
        </w:rPr>
        <w:t xml:space="preserve">Quantifying Associated Factors with the  High Prevalence </w:t>
      </w:r>
      <w:r w:rsidR="0046687C">
        <w:rPr>
          <w:rFonts w:ascii="New-Baskerville-SemiBoldA" w:cs="New-Baskerville-SemiBoldA"/>
          <w:b/>
          <w:bCs/>
          <w:color w:val="292526"/>
          <w:sz w:val="30"/>
          <w:szCs w:val="30"/>
        </w:rPr>
        <w:t xml:space="preserve">of </w:t>
      </w:r>
      <w:r>
        <w:rPr>
          <w:rFonts w:ascii="New-Baskerville-SemiBoldA" w:cs="New-Baskerville-SemiBoldA"/>
          <w:b/>
          <w:bCs/>
          <w:color w:val="292526"/>
          <w:sz w:val="30"/>
          <w:szCs w:val="30"/>
        </w:rPr>
        <w:t xml:space="preserve"> </w:t>
      </w:r>
      <w:r w:rsidR="0046687C">
        <w:rPr>
          <w:rFonts w:ascii="New-Baskerville-SemiBoldA" w:cs="New-Baskerville-SemiBoldA"/>
          <w:b/>
          <w:bCs/>
          <w:color w:val="292526"/>
          <w:sz w:val="30"/>
          <w:szCs w:val="30"/>
        </w:rPr>
        <w:t>D</w:t>
      </w:r>
      <w:r w:rsidRPr="00254214">
        <w:rPr>
          <w:rFonts w:ascii="New-Baskerville-SemiBoldA" w:cs="New-Baskerville-SemiBoldA"/>
          <w:b/>
          <w:bCs/>
          <w:color w:val="292526"/>
          <w:sz w:val="30"/>
          <w:szCs w:val="30"/>
        </w:rPr>
        <w:t>yslipidemias</w:t>
      </w:r>
      <w:r>
        <w:rPr>
          <w:rFonts w:ascii="New-Baskerville-SemiBoldA" w:cs="New-Baskerville-SemiBoldA"/>
          <w:b/>
          <w:bCs/>
          <w:color w:val="292526"/>
          <w:sz w:val="30"/>
          <w:szCs w:val="30"/>
        </w:rPr>
        <w:t xml:space="preserve"> Abnormalities in Primary Care Patients at Saudi Arabia  2016</w:t>
      </w:r>
    </w:p>
    <w:p w:rsidR="0046687C" w:rsidRDefault="00A651FC" w:rsidP="00A651FC">
      <w:pPr>
        <w:spacing w:after="0" w:line="360" w:lineRule="auto"/>
        <w:jc w:val="center"/>
      </w:pPr>
      <w:r w:rsidRPr="00A651FC">
        <w:t>Abdulaziz Al</w:t>
      </w:r>
      <w:r>
        <w:t>q</w:t>
      </w:r>
      <w:r w:rsidRPr="00A651FC">
        <w:t>ahtani</w:t>
      </w:r>
      <w:r w:rsidR="0046687C">
        <w:t>, Khalid Alharbi, Muhammed Alnuhait, Ahmed Alanizi, Abdullah Khoja</w:t>
      </w:r>
    </w:p>
    <w:p w:rsidR="0046687C" w:rsidRDefault="0046687C" w:rsidP="0046687C">
      <w:pPr>
        <w:spacing w:after="0"/>
        <w:jc w:val="center"/>
        <w:rPr>
          <w:rFonts w:eastAsia="Times New Roman" w:cs="Arial"/>
        </w:rPr>
      </w:pPr>
      <w:r>
        <w:t>College of Pharmacy</w:t>
      </w:r>
      <w:r w:rsidRPr="00B56344">
        <w:t>, King Saud bin Abdulaziz University for Health Sciences</w:t>
      </w:r>
      <w:r>
        <w:t>- Riyadh/ Saudi Arabia</w:t>
      </w:r>
    </w:p>
    <w:p w:rsidR="0046687C" w:rsidRPr="0046687C" w:rsidRDefault="0046687C" w:rsidP="0046687C">
      <w:pPr>
        <w:spacing w:after="0"/>
        <w:jc w:val="center"/>
        <w:rPr>
          <w:rFonts w:eastAsia="Times New Roman" w:cs="Arial"/>
        </w:rPr>
      </w:pPr>
    </w:p>
    <w:p w:rsidR="0046687C" w:rsidRPr="00271870" w:rsidRDefault="0046687C" w:rsidP="00A651FC">
      <w:pPr>
        <w:spacing w:before="100" w:beforeAutospacing="1" w:after="100" w:afterAutospacing="1"/>
        <w:rPr>
          <w:rFonts w:asciiTheme="majorBidi" w:hAnsiTheme="majorBidi" w:cstheme="majorBidi"/>
        </w:rPr>
      </w:pPr>
      <w:r w:rsidRPr="00B56344">
        <w:rPr>
          <w:b/>
          <w:sz w:val="24"/>
          <w:szCs w:val="24"/>
          <w:lang w:val="fr-FR"/>
        </w:rPr>
        <w:t xml:space="preserve">Purpose: </w:t>
      </w:r>
      <w:r w:rsidRPr="0046687C">
        <w:rPr>
          <w:bCs/>
          <w:sz w:val="24"/>
          <w:szCs w:val="24"/>
        </w:rPr>
        <w:t>This study aimed to determine the prevalence of Dyslipidemia, especially low high-density lipoprotein cholesterol (HDL-cholesterol) and assessed which risk factors are associated with low HDL-cholesterol concentrations  in King Abdulaziz Medical city Clinics in Saudi Arabia</w:t>
      </w:r>
      <w:r w:rsidR="00271870">
        <w:rPr>
          <w:rFonts w:asciiTheme="majorBidi" w:hAnsiTheme="majorBidi" w:cstheme="majorBidi"/>
        </w:rPr>
        <w:t xml:space="preserve">                                                                                                                                         </w:t>
      </w:r>
      <w:r w:rsidRPr="00B56344">
        <w:rPr>
          <w:b/>
          <w:sz w:val="24"/>
          <w:szCs w:val="24"/>
          <w:lang w:val="fr-FR"/>
        </w:rPr>
        <w:t xml:space="preserve">Methods: </w:t>
      </w:r>
      <w:r w:rsidRPr="0046687C">
        <w:rPr>
          <w:bCs/>
          <w:sz w:val="24"/>
          <w:szCs w:val="24"/>
        </w:rPr>
        <w:t>A cross-sectional analyses involving 1005 adult aged above 40 years old, information on the demographics, Age, Gender, body mass index, Systolic blood pressure, Diastolic blood pressure, smoking, Diabetes mellitus, other comorbidities were collected via chart review (Primary care unit in KAMC). In addition plasma lipid profiles were also collected to determine total cholesterol (TC), low-density lipoprotein cholesterol (LDL-cholesterol), and HDL-cholesterol, and triglycerides (TG) levels.</w:t>
      </w:r>
      <w:r w:rsidR="00271870">
        <w:rPr>
          <w:bCs/>
          <w:sz w:val="24"/>
          <w:szCs w:val="24"/>
        </w:rPr>
        <w:t xml:space="preserve">                                                                                 </w:t>
      </w:r>
      <w:r w:rsidRPr="00B56344">
        <w:rPr>
          <w:b/>
          <w:sz w:val="24"/>
          <w:szCs w:val="24"/>
          <w:lang w:val="fr-FR"/>
        </w:rPr>
        <w:t xml:space="preserve">Results: </w:t>
      </w:r>
      <w:r w:rsidRPr="0046687C">
        <w:rPr>
          <w:bCs/>
          <w:sz w:val="24"/>
          <w:szCs w:val="24"/>
        </w:rPr>
        <w:t>A total of 1005 patients were involved in the study. Mean age of the participants was 59.3 ± 14.3 years. (22 %) of the participants were between 40-49, (33%) 50-59 and (30 %) 60-69. Nearly (61 %) of the patient on statins still the rate of low HDL is high. The prevalence of high TC, high LDL-cholesterol, low HDL-cholesterol, and high TG were high. TC, LDL-cholesterol, and TG increased with age in females. Elevated TC was more common in females than in males. The prevalence of low HDL-cholesterol was 57% in males and 69% in females. Overweight or obese, and those with large waist circumference were more likely to have low HDL-cholesterol (p&lt;0.05). Multivariable regression showed that male gender showed an association with low HDL-cholesterol , age ≥60 years.</w:t>
      </w:r>
      <w:r w:rsidR="00271870">
        <w:rPr>
          <w:bCs/>
          <w:sz w:val="24"/>
          <w:szCs w:val="24"/>
          <w:lang w:val="fr-FR"/>
        </w:rPr>
        <w:t xml:space="preserve">                                                              </w:t>
      </w:r>
      <w:r w:rsidRPr="00B56344">
        <w:rPr>
          <w:b/>
          <w:sz w:val="24"/>
          <w:szCs w:val="24"/>
          <w:lang w:val="fr-FR"/>
        </w:rPr>
        <w:t xml:space="preserve">Conclusion: </w:t>
      </w:r>
      <w:r w:rsidRPr="0046687C">
        <w:rPr>
          <w:bCs/>
          <w:sz w:val="24"/>
          <w:szCs w:val="24"/>
        </w:rPr>
        <w:t>This study found that the prevalence of low HDL-cholesterol was 57% in males and 69% in females. The prevalence of low HDL-C levels is relatively high among Saudis, which may have important implications for public health. Identified associated factors should be considered for reducing the risk of low HDL-C levels in Saudis.</w:t>
      </w:r>
      <w:r w:rsidR="00271870">
        <w:rPr>
          <w:bCs/>
          <w:sz w:val="24"/>
          <w:szCs w:val="24"/>
        </w:rPr>
        <w:t xml:space="preserve">                                            </w:t>
      </w:r>
      <w:r>
        <w:rPr>
          <w:b/>
        </w:rPr>
        <w:t>Biography</w:t>
      </w:r>
      <w:r w:rsidR="00405315">
        <w:rPr>
          <w:b/>
        </w:rPr>
        <w:t xml:space="preserve">: </w:t>
      </w:r>
      <w:r w:rsidRPr="0046687C">
        <w:t xml:space="preserve">Abdulaziz Alqahtani </w:t>
      </w:r>
      <w:r>
        <w:t>Is  Ph.d Internship student at National Guard hospital- Riyadh/ Saudi Arabia, has completed his ph.d degree last year from King Saud bin Abdul-Aziz University for Health Sciences. He has published some papers (2 papers)</w:t>
      </w:r>
      <w:r w:rsidRPr="00284157">
        <w:t xml:space="preserve"> in reputed journals</w:t>
      </w:r>
      <w:r>
        <w:t xml:space="preserve">, and has been conducting more than </w:t>
      </w:r>
      <w:r w:rsidR="00A64260">
        <w:t>five</w:t>
      </w:r>
      <w:r>
        <w:t xml:space="preserve"> papers at this time, he has </w:t>
      </w:r>
      <w:r w:rsidR="00A64260">
        <w:t xml:space="preserve">trained in many </w:t>
      </w:r>
      <w:r w:rsidR="00A64260" w:rsidRPr="00284157">
        <w:t>reputed</w:t>
      </w:r>
      <w:r w:rsidR="00A64260">
        <w:t xml:space="preserve"> centers such as North York General Hospital, Toronto/ Canada</w:t>
      </w:r>
      <w:r>
        <w:t>,</w:t>
      </w:r>
      <w:r w:rsidR="00A64260" w:rsidRPr="00A64260">
        <w:t xml:space="preserve"> prince sultan military medical city</w:t>
      </w:r>
      <w:r w:rsidR="00A64260">
        <w:t xml:space="preserve">, Riyadh/ Saudi Arabia and </w:t>
      </w:r>
      <w:r w:rsidR="00A64260" w:rsidRPr="0046687C">
        <w:rPr>
          <w:bCs/>
          <w:sz w:val="24"/>
          <w:szCs w:val="24"/>
        </w:rPr>
        <w:t>King Abdulaziz Medical city</w:t>
      </w:r>
      <w:r w:rsidR="00A64260">
        <w:rPr>
          <w:bCs/>
          <w:sz w:val="24"/>
          <w:szCs w:val="24"/>
        </w:rPr>
        <w:t xml:space="preserve">, </w:t>
      </w:r>
      <w:r w:rsidR="00A64260">
        <w:t>Riyadh/ Saudi Arabia</w:t>
      </w:r>
      <w:r w:rsidR="00A64260">
        <w:rPr>
          <w:bCs/>
          <w:sz w:val="24"/>
          <w:szCs w:val="24"/>
        </w:rPr>
        <w:t>.</w:t>
      </w:r>
      <w:r w:rsidR="00A64260">
        <w:t xml:space="preserve"> A</w:t>
      </w:r>
      <w:r>
        <w:t>nd he has engaged in many conferen</w:t>
      </w:r>
      <w:r w:rsidR="00A64260">
        <w:t>ces locally</w:t>
      </w:r>
      <w:r w:rsidR="00405315">
        <w:t xml:space="preserve"> </w:t>
      </w:r>
      <w:r w:rsidR="00A64260">
        <w:t>and</w:t>
      </w:r>
      <w:r w:rsidR="00405315">
        <w:t xml:space="preserve"> </w:t>
      </w:r>
      <w:r w:rsidR="00A64260">
        <w:t>internationally.</w:t>
      </w:r>
      <w:r>
        <w:br/>
      </w: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w:t>
      </w:r>
      <w:r w:rsidR="00A651FC">
        <w:t>Abdulaziz Alq</w:t>
      </w:r>
      <w:bookmarkStart w:id="0" w:name="_GoBack"/>
      <w:bookmarkEnd w:id="0"/>
      <w:r w:rsidR="00A651FC" w:rsidRPr="00A651FC">
        <w:t>ahtani</w:t>
      </w:r>
      <w:r w:rsidRPr="008A690F">
        <w:rPr>
          <w:lang w:val="en-NZ"/>
        </w:rPr>
        <w:br/>
        <w:t>Contact number:</w:t>
      </w:r>
      <w:r w:rsidR="00405315">
        <w:rPr>
          <w:lang w:val="en-NZ"/>
        </w:rPr>
        <w:t>00966561981000</w:t>
      </w:r>
      <w:r>
        <w:rPr>
          <w:b/>
          <w:lang w:val="en-NZ"/>
        </w:rPr>
        <w:t xml:space="preserve">                                                                                                                       </w:t>
      </w:r>
      <w:r w:rsidR="00405315">
        <w:rPr>
          <w:b/>
          <w:lang w:val="en-NZ"/>
        </w:rPr>
        <w:t xml:space="preserve">    </w:t>
      </w:r>
      <w:r w:rsidRPr="008A690F">
        <w:rPr>
          <w:lang w:val="en-NZ"/>
        </w:rPr>
        <w:t>Session</w:t>
      </w:r>
      <w:r>
        <w:rPr>
          <w:lang w:val="en-NZ"/>
        </w:rPr>
        <w:t xml:space="preserve"> </w:t>
      </w:r>
      <w:r w:rsidRPr="008A690F">
        <w:rPr>
          <w:lang w:val="en-NZ"/>
        </w:rPr>
        <w:t>name/</w:t>
      </w:r>
      <w:r>
        <w:rPr>
          <w:lang w:val="en-NZ"/>
        </w:rPr>
        <w:t xml:space="preserve"> </w:t>
      </w:r>
      <w:r w:rsidRPr="008A690F">
        <w:rPr>
          <w:lang w:val="en-NZ"/>
        </w:rPr>
        <w:t xml:space="preserve"> </w:t>
      </w:r>
      <w:r w:rsidR="00405315">
        <w:rPr>
          <w:lang w:val="en-NZ"/>
        </w:rPr>
        <w:t xml:space="preserve">Clinical Pharmacy and Pharmacotherapeutics </w:t>
      </w:r>
      <w:r w:rsidRPr="008A690F">
        <w:rPr>
          <w:lang w:val="en-NZ"/>
        </w:rPr>
        <w:br/>
        <w:t>Category: (Poster presentation)</w:t>
      </w:r>
    </w:p>
    <w:sectPr w:rsidR="0046687C" w:rsidRPr="00271870" w:rsidSect="00271870">
      <w:pgSz w:w="12240" w:h="15840"/>
      <w:pgMar w:top="851" w:right="1608" w:bottom="709" w:left="1418" w:header="708" w:footer="708" w:gutter="0"/>
      <w:pgBorders w:offsetFrom="page">
        <w:top w:val="threeDEmboss" w:sz="24" w:space="18" w:color="auto"/>
        <w:left w:val="threeDEmboss" w:sz="24" w:space="18" w:color="auto"/>
        <w:bottom w:val="threeDEngrave" w:sz="24" w:space="18" w:color="auto"/>
        <w:right w:val="threeDEngrave" w:sz="24" w:space="18"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ew-Baskerville-SemiBoldA">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01E"/>
    <w:rsid w:val="00254214"/>
    <w:rsid w:val="00271870"/>
    <w:rsid w:val="0035501E"/>
    <w:rsid w:val="00405315"/>
    <w:rsid w:val="0046687C"/>
    <w:rsid w:val="00725F04"/>
    <w:rsid w:val="009C3269"/>
    <w:rsid w:val="00A64260"/>
    <w:rsid w:val="00A651FC"/>
    <w:rsid w:val="00EC2D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515</Words>
  <Characters>2936</Characters>
  <Application>Microsoft Office Word</Application>
  <DocSecurity>0</DocSecurity>
  <Lines>24</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2016-08-27T23:40:00Z</dcterms:created>
  <dcterms:modified xsi:type="dcterms:W3CDTF">2016-08-27T23:48:00Z</dcterms:modified>
</cp:coreProperties>
</file>