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719" w:rsidRPr="00A275DF" w:rsidRDefault="000F4719" w:rsidP="000F4719">
      <w:pPr>
        <w:spacing w:after="0" w:line="360" w:lineRule="auto"/>
        <w:jc w:val="both"/>
        <w:rPr>
          <w:b/>
        </w:rPr>
      </w:pPr>
      <w:r w:rsidRPr="00A275DF">
        <w:rPr>
          <w:b/>
        </w:rPr>
        <w:t xml:space="preserve">MOLECULAR, CELLULAR AND IN VIVO STUDIES TO EXPLORE THE EFFECT OF DOSIFLAVONE IN CONDITIONS ASSOCIATED WITH INFLAMMATION AND OXIDATIVE STRESS  </w:t>
      </w:r>
    </w:p>
    <w:p w:rsidR="000F4719" w:rsidRDefault="000F4719" w:rsidP="004F47F9">
      <w:pPr>
        <w:jc w:val="both"/>
        <w:rPr>
          <w:b/>
        </w:rPr>
      </w:pPr>
    </w:p>
    <w:p w:rsidR="004F47F9" w:rsidRPr="004F47F9" w:rsidRDefault="004F47F9" w:rsidP="004F47F9">
      <w:pPr>
        <w:jc w:val="both"/>
        <w:rPr>
          <w:b/>
        </w:rPr>
      </w:pPr>
      <w:r w:rsidRPr="004F47F9">
        <w:rPr>
          <w:b/>
        </w:rPr>
        <w:t>Abstract</w:t>
      </w:r>
    </w:p>
    <w:p w:rsidR="00BD60D0" w:rsidRDefault="004F47F9" w:rsidP="004F47F9">
      <w:pPr>
        <w:jc w:val="both"/>
      </w:pPr>
      <w:r w:rsidRPr="00A275DF">
        <w:t xml:space="preserve">The current </w:t>
      </w:r>
      <w:r>
        <w:t xml:space="preserve">study </w:t>
      </w:r>
      <w:r w:rsidRPr="00A275DF">
        <w:t xml:space="preserve">was designed to </w:t>
      </w:r>
      <w:r>
        <w:t xml:space="preserve">examine </w:t>
      </w:r>
      <w:r w:rsidRPr="00A275DF">
        <w:t xml:space="preserve">the potential of a </w:t>
      </w:r>
      <w:proofErr w:type="spellStart"/>
      <w:r w:rsidRPr="00A275DF">
        <w:t>flavonoid</w:t>
      </w:r>
      <w:proofErr w:type="spellEnd"/>
      <w:r w:rsidRPr="00A275DF">
        <w:t xml:space="preserve"> compound (</w:t>
      </w:r>
      <w:proofErr w:type="spellStart"/>
      <w:r w:rsidRPr="00A275DF">
        <w:t>Dosiflavone</w:t>
      </w:r>
      <w:proofErr w:type="spellEnd"/>
      <w:r w:rsidRPr="00A275DF">
        <w:t xml:space="preserve">), obtained from </w:t>
      </w:r>
      <w:proofErr w:type="spellStart"/>
      <w:r w:rsidRPr="00A275DF">
        <w:rPr>
          <w:i/>
        </w:rPr>
        <w:t>Dodonaea</w:t>
      </w:r>
      <w:proofErr w:type="spellEnd"/>
      <w:r>
        <w:rPr>
          <w:i/>
        </w:rPr>
        <w:t xml:space="preserve"> </w:t>
      </w:r>
      <w:proofErr w:type="spellStart"/>
      <w:r w:rsidRPr="00A275DF">
        <w:rPr>
          <w:i/>
        </w:rPr>
        <w:t>viscosa</w:t>
      </w:r>
      <w:proofErr w:type="spellEnd"/>
      <w:r w:rsidRPr="00A275DF">
        <w:rPr>
          <w:i/>
        </w:rPr>
        <w:t xml:space="preserve">, </w:t>
      </w:r>
      <w:r w:rsidRPr="00A275DF">
        <w:t xml:space="preserve">in cell culture </w:t>
      </w:r>
      <w:r w:rsidRPr="00C50047">
        <w:rPr>
          <w:color w:val="000000" w:themeColor="text1"/>
        </w:rPr>
        <w:t>and animal model for inflammation,</w:t>
      </w:r>
      <w:r w:rsidRPr="00A275DF">
        <w:t xml:space="preserve"> oxidative stress and its mechanism of action. </w:t>
      </w:r>
      <w:proofErr w:type="spellStart"/>
      <w:r w:rsidRPr="00A275DF">
        <w:t>Ethnopharmacological</w:t>
      </w:r>
      <w:proofErr w:type="spellEnd"/>
      <w:r w:rsidRPr="00A275DF">
        <w:t xml:space="preserve"> studies reports a variety of therapeutic uses, in particular as a topical application for analgesic and anti-inflammatory characteristics. Computational chemistry studies using EZ-FIT software revealed its molecular based interaction with all key sub sites within the catalytic fixing pockets of </w:t>
      </w:r>
      <w:proofErr w:type="spellStart"/>
      <w:r w:rsidRPr="00A275DF">
        <w:t>Cyclooxygenase</w:t>
      </w:r>
      <w:proofErr w:type="spellEnd"/>
      <w:r w:rsidRPr="00A275DF">
        <w:t xml:space="preserve"> and </w:t>
      </w:r>
      <w:proofErr w:type="spellStart"/>
      <w:r w:rsidRPr="00A275DF">
        <w:t>Lipoxygenase</w:t>
      </w:r>
      <w:proofErr w:type="spellEnd"/>
      <w:r w:rsidRPr="00A275DF">
        <w:t xml:space="preserve"> enzymes. </w:t>
      </w:r>
      <w:proofErr w:type="spellStart"/>
      <w:r w:rsidRPr="00A275DF">
        <w:t>Dosiflavone</w:t>
      </w:r>
      <w:proofErr w:type="spellEnd"/>
      <w:r w:rsidRPr="00A275DF">
        <w:t xml:space="preserve"> fix well into the active site of </w:t>
      </w:r>
      <w:proofErr w:type="spellStart"/>
      <w:r w:rsidRPr="00A275DF">
        <w:t>Lipoxygenase</w:t>
      </w:r>
      <w:proofErr w:type="spellEnd"/>
      <w:r w:rsidRPr="00A275DF">
        <w:t xml:space="preserve">. Though, lesser potency was observed due to bulky </w:t>
      </w:r>
      <w:proofErr w:type="spellStart"/>
      <w:r w:rsidRPr="00A275DF">
        <w:t>methoxy</w:t>
      </w:r>
      <w:proofErr w:type="spellEnd"/>
      <w:r w:rsidRPr="00A275DF">
        <w:t xml:space="preserve"> groups, as compared to standard and well established LOX inhibitors. </w:t>
      </w:r>
      <w:proofErr w:type="spellStart"/>
      <w:r w:rsidRPr="00A275DF">
        <w:t>Dosiflavone</w:t>
      </w:r>
      <w:proofErr w:type="spellEnd"/>
      <w:r w:rsidRPr="00A275DF">
        <w:t xml:space="preserve"> showed strong compound interactions with all key amino acids residues especially the catalytic triad (His523, His 518 and Ile 857) and iron atom. </w:t>
      </w:r>
      <w:proofErr w:type="spellStart"/>
      <w:r w:rsidRPr="00A275DF">
        <w:t>Dosiflavone</w:t>
      </w:r>
      <w:proofErr w:type="spellEnd"/>
      <w:r w:rsidRPr="00A275DF">
        <w:t xml:space="preserve"> also showed considerable interactions with </w:t>
      </w:r>
      <w:proofErr w:type="spellStart"/>
      <w:r w:rsidRPr="00A275DF">
        <w:t>Cyclooxygenase</w:t>
      </w:r>
      <w:proofErr w:type="spellEnd"/>
      <w:r w:rsidRPr="00A275DF">
        <w:t xml:space="preserve"> binding side chains of </w:t>
      </w:r>
      <w:proofErr w:type="spellStart"/>
      <w:r w:rsidRPr="00A275DF">
        <w:t>Arg</w:t>
      </w:r>
      <w:proofErr w:type="spellEnd"/>
      <w:r w:rsidRPr="00A275DF">
        <w:t xml:space="preserve"> 120 and Tyr 355 without any major </w:t>
      </w:r>
      <w:proofErr w:type="spellStart"/>
      <w:r w:rsidRPr="00A275DF">
        <w:t>steric</w:t>
      </w:r>
      <w:proofErr w:type="spellEnd"/>
      <w:r w:rsidRPr="00A275DF">
        <w:t xml:space="preserve"> and electrostatic hindrance. These finding make us believe that this compound has significant analgesic and anti-inflammatory action. In-vitro toxicity of </w:t>
      </w:r>
      <w:proofErr w:type="spellStart"/>
      <w:r w:rsidRPr="00A275DF">
        <w:t>Dosiflavone</w:t>
      </w:r>
      <w:proofErr w:type="spellEnd"/>
      <w:r w:rsidRPr="00A275DF">
        <w:t xml:space="preserve"> was assessed through MTT assay in RAW 264.7 cells which revealed safety of the test compound. The absorbance recorded </w:t>
      </w:r>
      <w:proofErr w:type="spellStart"/>
      <w:r w:rsidRPr="00A275DF">
        <w:t>spectrophotometrically</w:t>
      </w:r>
      <w:proofErr w:type="spellEnd"/>
      <w:r w:rsidRPr="00A275DF">
        <w:t xml:space="preserve"> at 550nm was 88±0.11, 87.5±0.13, 85±0.09, 85±0.09, 83±0.08, 80±0.08 and 79±0.07 for DF1, DF2.5, DF5, DF10, DF25, DF50 and DF100, respectively as compared to negative control i.e. 90±0.13. Different anti-oxidant studies (ferric reducing assay, superoxide scavenging assay and NO scavenging assay) revealed its significant effect in conditions associated with oxidative stress. </w:t>
      </w:r>
      <w:proofErr w:type="spellStart"/>
      <w:r w:rsidRPr="00A275DF">
        <w:t>Dosiflavone</w:t>
      </w:r>
      <w:proofErr w:type="spellEnd"/>
      <w:r w:rsidRPr="00A275DF">
        <w:t xml:space="preserve"> showed lower activity i.e. 1.92±0.37 FRAP activity than ascorbic acid i.e. 4.81±0.53 FRAP activity in the FRAP assay. The test compound showed lower antioxidant activity than standard compound, </w:t>
      </w:r>
      <w:proofErr w:type="spellStart"/>
      <w:r w:rsidRPr="00A275DF">
        <w:t>Rutin</w:t>
      </w:r>
      <w:proofErr w:type="spellEnd"/>
      <w:r w:rsidRPr="00A275DF">
        <w:t xml:space="preserve">, in superoxide scavenging assay at doses between </w:t>
      </w:r>
      <w:proofErr w:type="gramStart"/>
      <w:r w:rsidRPr="00A275DF">
        <w:t>10 µg/ml</w:t>
      </w:r>
      <w:proofErr w:type="gramEnd"/>
      <w:r w:rsidRPr="00A275DF">
        <w:t xml:space="preserve"> and 100 µg/ml with greatest difference in scavenging effect at 40 µg/ml which was 63±0.19 % as compared to standard compound </w:t>
      </w:r>
      <w:proofErr w:type="spellStart"/>
      <w:r w:rsidRPr="00A275DF">
        <w:t>Rutin</w:t>
      </w:r>
      <w:proofErr w:type="spellEnd"/>
      <w:r w:rsidRPr="00A275DF">
        <w:t xml:space="preserve"> (82±0.15 %). NO scavenging assay showed that the effect of </w:t>
      </w:r>
      <w:proofErr w:type="spellStart"/>
      <w:r w:rsidRPr="00A275DF">
        <w:t>quercetin</w:t>
      </w:r>
      <w:proofErr w:type="spellEnd"/>
      <w:r w:rsidRPr="00A275DF">
        <w:t xml:space="preserve"> (62±0.11) was better than </w:t>
      </w:r>
      <w:proofErr w:type="spellStart"/>
      <w:r w:rsidRPr="00A275DF">
        <w:t>Dosiflavone</w:t>
      </w:r>
      <w:proofErr w:type="spellEnd"/>
      <w:r w:rsidRPr="00A275DF">
        <w:t xml:space="preserve"> (38±0.15) at 250 µg/ml. </w:t>
      </w:r>
      <w:proofErr w:type="spellStart"/>
      <w:r w:rsidRPr="00A275DF">
        <w:t>Quercetin</w:t>
      </w:r>
      <w:proofErr w:type="spellEnd"/>
      <w:r w:rsidRPr="00A275DF">
        <w:t xml:space="preserve"> showed stronger scavenging activity at test dose of 500µg/ml than </w:t>
      </w:r>
      <w:proofErr w:type="spellStart"/>
      <w:r w:rsidRPr="00A275DF">
        <w:t>Dosiflavone</w:t>
      </w:r>
      <w:proofErr w:type="spellEnd"/>
      <w:r w:rsidRPr="00A275DF">
        <w:t xml:space="preserve"> i.e. 75±0.07 </w:t>
      </w:r>
      <w:proofErr w:type="spellStart"/>
      <w:r w:rsidRPr="00A275DF">
        <w:t>vs</w:t>
      </w:r>
      <w:proofErr w:type="spellEnd"/>
      <w:r w:rsidRPr="00A275DF">
        <w:t xml:space="preserve"> 45±0.09, respectively. For its anti-inflammatory potential, enzyme inhibition activities were carried out and IC</w:t>
      </w:r>
      <w:r w:rsidRPr="00A275DF">
        <w:rPr>
          <w:vertAlign w:val="subscript"/>
        </w:rPr>
        <w:t>50</w:t>
      </w:r>
      <w:r w:rsidRPr="00A275DF">
        <w:t xml:space="preserve"> value was calculated for both LOX and COX enzymes.  </w:t>
      </w:r>
      <w:proofErr w:type="spellStart"/>
      <w:r w:rsidRPr="00A275DF">
        <w:t>Dosiflavone</w:t>
      </w:r>
      <w:proofErr w:type="spellEnd"/>
      <w:r w:rsidRPr="00A275DF">
        <w:t xml:space="preserve"> showed a noteworthy potential with IC</w:t>
      </w:r>
      <w:r w:rsidRPr="00A275DF">
        <w:rPr>
          <w:vertAlign w:val="subscript"/>
        </w:rPr>
        <w:t>50</w:t>
      </w:r>
      <w:r w:rsidRPr="00A275DF">
        <w:t xml:space="preserve"> value of 39 ± 0.17 µM for </w:t>
      </w:r>
      <w:proofErr w:type="spellStart"/>
      <w:r w:rsidRPr="00A275DF">
        <w:t>Lipoxygenase</w:t>
      </w:r>
      <w:proofErr w:type="spellEnd"/>
      <w:r w:rsidRPr="00A275DF">
        <w:t xml:space="preserve"> enzyme. The values of IC</w:t>
      </w:r>
      <w:r w:rsidRPr="00A275DF">
        <w:rPr>
          <w:vertAlign w:val="subscript"/>
        </w:rPr>
        <w:t>50</w:t>
      </w:r>
      <w:r w:rsidRPr="00A275DF">
        <w:t xml:space="preserve"> for COX-1 and COX-2 were 186.21 ± 0.03 µM and 112.62 ± 0.02 µM respectively, which showed that the </w:t>
      </w:r>
      <w:proofErr w:type="spellStart"/>
      <w:r w:rsidRPr="00A275DF">
        <w:t>Dosiflavone</w:t>
      </w:r>
      <w:proofErr w:type="spellEnd"/>
      <w:r w:rsidRPr="00A275DF">
        <w:t xml:space="preserve"> is more effective against COX-2 than COX-1. Enzyme immunoassay performed on </w:t>
      </w:r>
      <w:proofErr w:type="spellStart"/>
      <w:r w:rsidRPr="00A275DF">
        <w:t>Lipoxygenase</w:t>
      </w:r>
      <w:proofErr w:type="spellEnd"/>
      <w:r w:rsidRPr="00A275DF">
        <w:t xml:space="preserve"> stimulated RAW 264.7 cells showed significant inhibition of PGE2 in dose dependent manner at concentrations ranging from 15–120 µM. The </w:t>
      </w:r>
      <w:r w:rsidRPr="00A275DF">
        <w:lastRenderedPageBreak/>
        <w:t xml:space="preserve">highest inhibition was </w:t>
      </w:r>
      <w:proofErr w:type="gramStart"/>
      <w:r w:rsidRPr="00A275DF">
        <w:t>at 120 µg/ml</w:t>
      </w:r>
      <w:proofErr w:type="gramEnd"/>
      <w:r w:rsidRPr="00A275DF">
        <w:t xml:space="preserve"> followed by 60 µg/ml (4±0.18microM and 4.8±0.16 </w:t>
      </w:r>
      <w:proofErr w:type="spellStart"/>
      <w:r w:rsidRPr="00A275DF">
        <w:t>microM</w:t>
      </w:r>
      <w:proofErr w:type="spellEnd"/>
      <w:r w:rsidRPr="00A275DF">
        <w:t xml:space="preserve"> respectively). </w:t>
      </w:r>
      <w:proofErr w:type="spellStart"/>
      <w:r w:rsidRPr="00A275DF">
        <w:t>Dosiflavone</w:t>
      </w:r>
      <w:proofErr w:type="spellEnd"/>
      <w:r w:rsidRPr="00A275DF">
        <w:t xml:space="preserve"> also blocked the release of NO from </w:t>
      </w:r>
      <w:proofErr w:type="spellStart"/>
      <w:r w:rsidRPr="00A275DF">
        <w:t>Lipoxygenase</w:t>
      </w:r>
      <w:proofErr w:type="spellEnd"/>
      <w:r w:rsidRPr="00A275DF">
        <w:t xml:space="preserve"> stimulated RAW 264.7 cell in a dose dependent method (15, 30, 60 and 120 µM). Highest inhibition was noted at 120 µg/ml of the test compound (7±0.08microM) as compared to LPS controlled (23±0.13microM) followed by 60 and 30 µg/ml dose of </w:t>
      </w:r>
      <w:proofErr w:type="spellStart"/>
      <w:r w:rsidRPr="00A275DF">
        <w:t>Dosiflavone</w:t>
      </w:r>
      <w:proofErr w:type="spellEnd"/>
      <w:r w:rsidRPr="00A275DF">
        <w:t xml:space="preserve"> (8±0.09 and 14±0.07microM respectively). Western blot analysis showed inhibition and suppressive action of </w:t>
      </w:r>
      <w:proofErr w:type="spellStart"/>
      <w:r w:rsidRPr="00A275DF">
        <w:t>Dosiflavone</w:t>
      </w:r>
      <w:proofErr w:type="spellEnd"/>
      <w:r w:rsidRPr="00A275DF">
        <w:t xml:space="preserve"> on the expression of COX-2 and </w:t>
      </w:r>
      <w:proofErr w:type="spellStart"/>
      <w:r w:rsidRPr="00A275DF">
        <w:t>iNOS</w:t>
      </w:r>
      <w:proofErr w:type="spellEnd"/>
      <w:r w:rsidRPr="00A275DF">
        <w:t xml:space="preserve"> proteins in LPS stimulated RAW 264.7 cells in dose dependent manner. Maximum inhibitory effect of </w:t>
      </w:r>
      <w:proofErr w:type="spellStart"/>
      <w:r w:rsidRPr="00A275DF">
        <w:t>Dosiflavone</w:t>
      </w:r>
      <w:proofErr w:type="spellEnd"/>
      <w:r w:rsidRPr="00A275DF">
        <w:t xml:space="preserve"> on the expression of </w:t>
      </w:r>
      <w:proofErr w:type="spellStart"/>
      <w:r w:rsidRPr="00A275DF">
        <w:t>iNOS</w:t>
      </w:r>
      <w:proofErr w:type="spellEnd"/>
      <w:r w:rsidRPr="00A275DF">
        <w:t xml:space="preserve"> in LPS stimulated RAW 264.7 cells was recorded at test dose of 120µg/ml as 0.18±0.14 (% of disease control) as compared to LPS activated cells. The expression of mRNA of COX-2 and </w:t>
      </w:r>
      <w:proofErr w:type="spellStart"/>
      <w:r w:rsidRPr="00A275DF">
        <w:t>iNOS</w:t>
      </w:r>
      <w:proofErr w:type="spellEnd"/>
      <w:r w:rsidRPr="00A275DF">
        <w:t xml:space="preserve"> in </w:t>
      </w:r>
      <w:proofErr w:type="spellStart"/>
      <w:r w:rsidRPr="00A275DF">
        <w:t>Liposygenase</w:t>
      </w:r>
      <w:proofErr w:type="spellEnd"/>
      <w:r w:rsidRPr="00A275DF">
        <w:t xml:space="preserve"> stimulated RAW 264.7 cells showed significant impact on </w:t>
      </w:r>
      <w:proofErr w:type="spellStart"/>
      <w:r w:rsidRPr="00A275DF">
        <w:t>iNOS</w:t>
      </w:r>
      <w:proofErr w:type="spellEnd"/>
      <w:r w:rsidRPr="00A275DF">
        <w:t xml:space="preserve"> mRNA expression in all tested concentration (30 to 120µM) while for COX-2, only noteworthy blocking impact was noted at 60 and 120 µM, compared to negative control.</w:t>
      </w:r>
    </w:p>
    <w:sectPr w:rsidR="00BD60D0" w:rsidSect="00BD6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4F47F9"/>
    <w:rsid w:val="000F4719"/>
    <w:rsid w:val="004F47F9"/>
    <w:rsid w:val="009416E7"/>
    <w:rsid w:val="00BD6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0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Sayyar</dc:creator>
  <cp:keywords/>
  <dc:description/>
  <cp:lastModifiedBy>Sayyar</cp:lastModifiedBy>
  <cp:revision>2</cp:revision>
  <dcterms:created xsi:type="dcterms:W3CDTF">2022-02-17T04:30:00Z</dcterms:created>
  <dcterms:modified xsi:type="dcterms:W3CDTF">2022-02-17T04:36:00Z</dcterms:modified>
</cp:coreProperties>
</file>