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0C2" w:rsidRPr="00E57553" w:rsidRDefault="004308E3" w:rsidP="00E57553">
      <w:pPr>
        <w:pStyle w:val="Heading2"/>
        <w:spacing w:line="360" w:lineRule="auto"/>
        <w:jc w:val="both"/>
        <w:rPr>
          <w:rFonts w:ascii="Times New Roman" w:hAnsi="Times New Roman" w:cs="Times New Roman"/>
          <w:color w:val="auto"/>
          <w:sz w:val="28"/>
        </w:rPr>
      </w:pPr>
      <w:r w:rsidRPr="00E57553">
        <w:rPr>
          <w:rFonts w:ascii="Times New Roman" w:hAnsi="Times New Roman" w:cs="Times New Roman"/>
          <w:color w:val="auto"/>
          <w:sz w:val="28"/>
        </w:rPr>
        <w:t xml:space="preserve">Quantitative Determination of </w:t>
      </w:r>
      <w:proofErr w:type="spellStart"/>
      <w:r w:rsidR="00C820E1" w:rsidRPr="00E57553">
        <w:rPr>
          <w:rFonts w:ascii="Times New Roman" w:hAnsi="Times New Roman" w:cs="Times New Roman"/>
          <w:color w:val="auto"/>
          <w:sz w:val="28"/>
        </w:rPr>
        <w:t>Mycotoxins</w:t>
      </w:r>
      <w:proofErr w:type="spellEnd"/>
      <w:r w:rsidRPr="00E57553">
        <w:rPr>
          <w:rFonts w:ascii="Times New Roman" w:hAnsi="Times New Roman" w:cs="Times New Roman"/>
          <w:color w:val="auto"/>
          <w:sz w:val="28"/>
        </w:rPr>
        <w:t xml:space="preserve"> Concentration in Food Using Immunological Method (Enzymes Linked </w:t>
      </w:r>
      <w:proofErr w:type="spellStart"/>
      <w:r w:rsidRPr="00E57553">
        <w:rPr>
          <w:rFonts w:ascii="Times New Roman" w:hAnsi="Times New Roman" w:cs="Times New Roman"/>
          <w:color w:val="auto"/>
          <w:sz w:val="28"/>
        </w:rPr>
        <w:t>Immuno</w:t>
      </w:r>
      <w:proofErr w:type="spellEnd"/>
      <w:r w:rsidRPr="00E57553">
        <w:rPr>
          <w:rFonts w:ascii="Times New Roman" w:hAnsi="Times New Roman" w:cs="Times New Roman"/>
          <w:color w:val="auto"/>
          <w:sz w:val="28"/>
        </w:rPr>
        <w:t>-Sorbent Assay ELISA).</w:t>
      </w:r>
    </w:p>
    <w:p w:rsidR="00A31D05" w:rsidRPr="00C32EF3" w:rsidRDefault="00A31D05" w:rsidP="002960C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2EF3">
        <w:rPr>
          <w:rFonts w:ascii="Times New Roman" w:hAnsi="Times New Roman" w:cs="Times New Roman"/>
          <w:sz w:val="26"/>
          <w:szCs w:val="26"/>
        </w:rPr>
        <w:t>ABULHASSAN ZILKIFIL</w:t>
      </w:r>
    </w:p>
    <w:p w:rsidR="00A31D05" w:rsidRPr="00C32EF3" w:rsidRDefault="00A31D05" w:rsidP="002960C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2EF3">
        <w:rPr>
          <w:rFonts w:ascii="Times New Roman" w:hAnsi="Times New Roman" w:cs="Times New Roman"/>
          <w:sz w:val="26"/>
          <w:szCs w:val="26"/>
        </w:rPr>
        <w:t xml:space="preserve">Department of Biochemistry, Faculty of Basic Medical Sciences, </w:t>
      </w:r>
      <w:r w:rsidR="00B33C84">
        <w:rPr>
          <w:rFonts w:ascii="Times New Roman" w:hAnsi="Times New Roman" w:cs="Times New Roman"/>
          <w:sz w:val="26"/>
          <w:szCs w:val="26"/>
        </w:rPr>
        <w:t>College of Health Scienc</w:t>
      </w:r>
      <w:r w:rsidR="006B7677">
        <w:rPr>
          <w:rFonts w:ascii="Times New Roman" w:hAnsi="Times New Roman" w:cs="Times New Roman"/>
          <w:sz w:val="26"/>
          <w:szCs w:val="26"/>
        </w:rPr>
        <w:t>e</w:t>
      </w:r>
      <w:r w:rsidR="00B33C84">
        <w:rPr>
          <w:rFonts w:ascii="Times New Roman" w:hAnsi="Times New Roman" w:cs="Times New Roman"/>
          <w:sz w:val="26"/>
          <w:szCs w:val="26"/>
        </w:rPr>
        <w:t xml:space="preserve">s, </w:t>
      </w:r>
      <w:proofErr w:type="spellStart"/>
      <w:r w:rsidRPr="00C32EF3">
        <w:rPr>
          <w:rFonts w:ascii="Times New Roman" w:hAnsi="Times New Roman" w:cs="Times New Roman"/>
          <w:sz w:val="26"/>
          <w:szCs w:val="26"/>
        </w:rPr>
        <w:t>Bayero</w:t>
      </w:r>
      <w:proofErr w:type="spellEnd"/>
      <w:r w:rsidRPr="00C32EF3">
        <w:rPr>
          <w:rFonts w:ascii="Times New Roman" w:hAnsi="Times New Roman" w:cs="Times New Roman"/>
          <w:sz w:val="26"/>
          <w:szCs w:val="26"/>
        </w:rPr>
        <w:t xml:space="preserve"> University, Kano.</w:t>
      </w:r>
    </w:p>
    <w:p w:rsidR="00C259CF" w:rsidRPr="00C32EF3" w:rsidRDefault="00C259CF" w:rsidP="002960C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C32EF3">
        <w:rPr>
          <w:rFonts w:ascii="Times New Roman" w:hAnsi="Times New Roman" w:cs="Times New Roman"/>
          <w:b/>
          <w:sz w:val="26"/>
          <w:szCs w:val="26"/>
        </w:rPr>
        <w:t>Abstract</w:t>
      </w:r>
    </w:p>
    <w:p w:rsidR="00C259CF" w:rsidRPr="00C32EF3" w:rsidRDefault="00C259CF" w:rsidP="003B6242">
      <w:pPr>
        <w:pStyle w:val="Default"/>
        <w:jc w:val="both"/>
        <w:rPr>
          <w:sz w:val="26"/>
          <w:szCs w:val="26"/>
        </w:rPr>
      </w:pPr>
      <w:proofErr w:type="spellStart"/>
      <w:r w:rsidRPr="00C32EF3">
        <w:rPr>
          <w:rFonts w:ascii="Times New Roman" w:eastAsia="TimesNewRoman" w:hAnsi="Times New Roman" w:cs="Times New Roman"/>
          <w:sz w:val="26"/>
          <w:szCs w:val="26"/>
        </w:rPr>
        <w:t>Mycotoxins</w:t>
      </w:r>
      <w:proofErr w:type="spellEnd"/>
      <w:r w:rsidRPr="00C32EF3">
        <w:rPr>
          <w:rFonts w:ascii="Times New Roman" w:eastAsia="TimesNewRoman" w:hAnsi="Times New Roman" w:cs="Times New Roman"/>
          <w:sz w:val="26"/>
          <w:szCs w:val="26"/>
        </w:rPr>
        <w:t xml:space="preserve"> are secondary metabolites produced by several filamentous fungi that grow on various food and feed. These compounds elicit a wide spectrum of toxicological effects, representing a health risk for both, humans and animals. </w:t>
      </w:r>
      <w:proofErr w:type="spellStart"/>
      <w:r w:rsidRPr="00C32EF3">
        <w:rPr>
          <w:rFonts w:ascii="Times New Roman" w:eastAsia="TimesNewRoman" w:hAnsi="Times New Roman" w:cs="Times New Roman"/>
          <w:sz w:val="26"/>
          <w:szCs w:val="26"/>
        </w:rPr>
        <w:t>Mycotoxin</w:t>
      </w:r>
      <w:proofErr w:type="spellEnd"/>
      <w:r w:rsidRPr="00C32EF3">
        <w:rPr>
          <w:rFonts w:ascii="Times New Roman" w:eastAsia="TimesNewRoman" w:hAnsi="Times New Roman" w:cs="Times New Roman"/>
          <w:sz w:val="26"/>
          <w:szCs w:val="26"/>
        </w:rPr>
        <w:t xml:space="preserve"> analysis is an important tool in controlling fungal contamination of food and feed.</w:t>
      </w:r>
      <w:r w:rsidR="00022BCF" w:rsidRPr="00C32EF3">
        <w:rPr>
          <w:rFonts w:ascii="Times New Roman" w:eastAsia="TimesNewRoman" w:hAnsi="Times New Roman" w:cs="Times New Roman"/>
          <w:sz w:val="26"/>
          <w:szCs w:val="26"/>
        </w:rPr>
        <w:t xml:space="preserve"> </w:t>
      </w:r>
      <w:r w:rsidR="00022BCF" w:rsidRPr="00C32EF3">
        <w:rPr>
          <w:rFonts w:ascii="Times New Roman" w:hAnsi="Times New Roman" w:cs="Times New Roman"/>
          <w:sz w:val="26"/>
          <w:szCs w:val="26"/>
        </w:rPr>
        <w:t xml:space="preserve">The total content of </w:t>
      </w:r>
      <w:proofErr w:type="spellStart"/>
      <w:r w:rsidR="00022BCF" w:rsidRPr="00C32EF3">
        <w:rPr>
          <w:rFonts w:ascii="Times New Roman" w:hAnsi="Times New Roman" w:cs="Times New Roman"/>
          <w:sz w:val="26"/>
          <w:szCs w:val="26"/>
        </w:rPr>
        <w:t>mycotoxin</w:t>
      </w:r>
      <w:proofErr w:type="spellEnd"/>
      <w:r w:rsidR="00022BCF" w:rsidRPr="00C32EF3">
        <w:rPr>
          <w:rFonts w:ascii="Times New Roman" w:hAnsi="Times New Roman" w:cs="Times New Roman"/>
          <w:sz w:val="26"/>
          <w:szCs w:val="26"/>
        </w:rPr>
        <w:t xml:space="preserve"> in food </w:t>
      </w:r>
      <w:r w:rsidR="008471B5" w:rsidRPr="00C32EF3">
        <w:rPr>
          <w:rFonts w:ascii="Times New Roman" w:hAnsi="Times New Roman" w:cs="Times New Roman"/>
          <w:sz w:val="26"/>
          <w:szCs w:val="26"/>
        </w:rPr>
        <w:t xml:space="preserve">was determined using </w:t>
      </w:r>
      <w:r w:rsidR="00022BCF" w:rsidRPr="00C32EF3">
        <w:rPr>
          <w:rFonts w:ascii="Times New Roman" w:hAnsi="Times New Roman" w:cs="Times New Roman"/>
          <w:sz w:val="26"/>
          <w:szCs w:val="26"/>
        </w:rPr>
        <w:t xml:space="preserve">the ELISA method. Raw rice and wheat samples </w:t>
      </w:r>
      <w:r w:rsidR="005F298D" w:rsidRPr="00C32EF3">
        <w:rPr>
          <w:rFonts w:ascii="Times New Roman" w:hAnsi="Times New Roman" w:cs="Times New Roman"/>
          <w:sz w:val="26"/>
          <w:szCs w:val="26"/>
        </w:rPr>
        <w:t xml:space="preserve">which bought from central Market </w:t>
      </w:r>
      <w:proofErr w:type="spellStart"/>
      <w:r w:rsidR="005F298D" w:rsidRPr="00C32EF3">
        <w:rPr>
          <w:rFonts w:ascii="Times New Roman" w:hAnsi="Times New Roman" w:cs="Times New Roman"/>
          <w:sz w:val="26"/>
          <w:szCs w:val="26"/>
        </w:rPr>
        <w:t>Munya</w:t>
      </w:r>
      <w:proofErr w:type="spellEnd"/>
      <w:r w:rsidR="005F298D" w:rsidRPr="00C32EF3">
        <w:rPr>
          <w:rFonts w:ascii="Times New Roman" w:hAnsi="Times New Roman" w:cs="Times New Roman"/>
          <w:sz w:val="26"/>
          <w:szCs w:val="26"/>
        </w:rPr>
        <w:t xml:space="preserve"> local Government, Niger state Nigeria </w:t>
      </w:r>
      <w:r w:rsidR="00022BCF" w:rsidRPr="00C32EF3">
        <w:rPr>
          <w:rFonts w:ascii="Times New Roman" w:hAnsi="Times New Roman" w:cs="Times New Roman"/>
          <w:sz w:val="26"/>
          <w:szCs w:val="26"/>
        </w:rPr>
        <w:t xml:space="preserve">were mainly investigated. </w:t>
      </w:r>
      <w:r w:rsidR="00B12AC0" w:rsidRPr="00C32EF3">
        <w:rPr>
          <w:rFonts w:ascii="Times New Roman" w:hAnsi="Times New Roman" w:cs="Times New Roman"/>
          <w:sz w:val="26"/>
          <w:szCs w:val="26"/>
        </w:rPr>
        <w:t>Were both</w:t>
      </w:r>
      <w:r w:rsidR="006A1027" w:rsidRPr="00C32EF3">
        <w:rPr>
          <w:rFonts w:ascii="Times New Roman" w:hAnsi="Times New Roman" w:cs="Times New Roman"/>
          <w:sz w:val="26"/>
          <w:szCs w:val="26"/>
        </w:rPr>
        <w:t xml:space="preserve"> the Raw Rice and wheat sample are free from </w:t>
      </w:r>
      <w:proofErr w:type="spellStart"/>
      <w:r w:rsidR="00022BCF" w:rsidRPr="00C32EF3">
        <w:rPr>
          <w:rFonts w:ascii="Times New Roman" w:hAnsi="Times New Roman" w:cs="Times New Roman"/>
          <w:sz w:val="26"/>
          <w:szCs w:val="26"/>
        </w:rPr>
        <w:t>aflatoxins</w:t>
      </w:r>
      <w:proofErr w:type="spellEnd"/>
      <w:r w:rsidR="006A1027" w:rsidRPr="00C32EF3">
        <w:rPr>
          <w:rFonts w:ascii="Times New Roman" w:hAnsi="Times New Roman" w:cs="Times New Roman"/>
          <w:sz w:val="26"/>
          <w:szCs w:val="26"/>
        </w:rPr>
        <w:t xml:space="preserve"> after quantification</w:t>
      </w:r>
      <w:r w:rsidR="00022BCF" w:rsidRPr="00C32EF3">
        <w:rPr>
          <w:rFonts w:ascii="Times New Roman" w:hAnsi="Times New Roman" w:cs="Times New Roman"/>
          <w:sz w:val="26"/>
          <w:szCs w:val="26"/>
        </w:rPr>
        <w:t xml:space="preserve">. A great usability of the ELISA method for </w:t>
      </w:r>
      <w:proofErr w:type="spellStart"/>
      <w:r w:rsidR="00022BCF" w:rsidRPr="00C32EF3">
        <w:rPr>
          <w:rFonts w:ascii="Times New Roman" w:hAnsi="Times New Roman" w:cs="Times New Roman"/>
          <w:sz w:val="26"/>
          <w:szCs w:val="26"/>
        </w:rPr>
        <w:t>aflatoxin</w:t>
      </w:r>
      <w:proofErr w:type="spellEnd"/>
      <w:r w:rsidR="00022BCF" w:rsidRPr="00C32EF3">
        <w:rPr>
          <w:rFonts w:ascii="Times New Roman" w:hAnsi="Times New Roman" w:cs="Times New Roman"/>
          <w:sz w:val="26"/>
          <w:szCs w:val="26"/>
        </w:rPr>
        <w:t xml:space="preserve"> determination in food was established.</w:t>
      </w:r>
      <w:r w:rsidR="00B51CA2" w:rsidRPr="00C32EF3">
        <w:rPr>
          <w:rFonts w:ascii="Times New Roman" w:hAnsi="Times New Roman" w:cs="Times New Roman"/>
          <w:sz w:val="26"/>
          <w:szCs w:val="26"/>
        </w:rPr>
        <w:t xml:space="preserve"> Enzyme linked </w:t>
      </w:r>
      <w:proofErr w:type="spellStart"/>
      <w:r w:rsidR="00B51CA2" w:rsidRPr="00C32EF3">
        <w:rPr>
          <w:rFonts w:ascii="Times New Roman" w:hAnsi="Times New Roman" w:cs="Times New Roman"/>
          <w:sz w:val="26"/>
          <w:szCs w:val="26"/>
        </w:rPr>
        <w:t>immunosorbent</w:t>
      </w:r>
      <w:proofErr w:type="spellEnd"/>
      <w:r w:rsidR="00B51CA2" w:rsidRPr="00C32EF3">
        <w:rPr>
          <w:rFonts w:ascii="Times New Roman" w:hAnsi="Times New Roman" w:cs="Times New Roman"/>
          <w:sz w:val="26"/>
          <w:szCs w:val="26"/>
        </w:rPr>
        <w:t xml:space="preserve"> assays (ELISAs) have long been utilized to quantitate </w:t>
      </w:r>
      <w:proofErr w:type="spellStart"/>
      <w:r w:rsidR="00B51CA2" w:rsidRPr="00C32EF3">
        <w:rPr>
          <w:rFonts w:ascii="Times New Roman" w:hAnsi="Times New Roman" w:cs="Times New Roman"/>
          <w:sz w:val="26"/>
          <w:szCs w:val="26"/>
        </w:rPr>
        <w:t>mycotoxin</w:t>
      </w:r>
      <w:proofErr w:type="spellEnd"/>
      <w:r w:rsidR="00B51CA2" w:rsidRPr="00C32EF3">
        <w:rPr>
          <w:rFonts w:ascii="Times New Roman" w:hAnsi="Times New Roman" w:cs="Times New Roman"/>
          <w:sz w:val="26"/>
          <w:szCs w:val="26"/>
        </w:rPr>
        <w:t xml:space="preserve"> levels because they enable the simple, rapid, and high-throughput detection of </w:t>
      </w:r>
      <w:proofErr w:type="spellStart"/>
      <w:r w:rsidR="00B51CA2" w:rsidRPr="00C32EF3">
        <w:rPr>
          <w:rFonts w:ascii="Times New Roman" w:hAnsi="Times New Roman" w:cs="Times New Roman"/>
          <w:sz w:val="26"/>
          <w:szCs w:val="26"/>
        </w:rPr>
        <w:t>mycotoxins</w:t>
      </w:r>
      <w:proofErr w:type="spellEnd"/>
      <w:r w:rsidR="00B51CA2" w:rsidRPr="00C32EF3">
        <w:rPr>
          <w:rFonts w:ascii="Times New Roman" w:hAnsi="Times New Roman" w:cs="Times New Roman"/>
          <w:sz w:val="26"/>
          <w:szCs w:val="26"/>
        </w:rPr>
        <w:t xml:space="preserve">. Additionally, ELISAs are portable and allow for the detection of </w:t>
      </w:r>
      <w:proofErr w:type="spellStart"/>
      <w:r w:rsidR="00B51CA2" w:rsidRPr="00C32EF3">
        <w:rPr>
          <w:rFonts w:ascii="Times New Roman" w:hAnsi="Times New Roman" w:cs="Times New Roman"/>
          <w:sz w:val="26"/>
          <w:szCs w:val="26"/>
        </w:rPr>
        <w:t>mycotoxins</w:t>
      </w:r>
      <w:proofErr w:type="spellEnd"/>
      <w:r w:rsidR="00B51CA2" w:rsidRPr="00C32EF3">
        <w:rPr>
          <w:rFonts w:ascii="Times New Roman" w:hAnsi="Times New Roman" w:cs="Times New Roman"/>
          <w:sz w:val="26"/>
          <w:szCs w:val="26"/>
        </w:rPr>
        <w:t xml:space="preserve"> in the field where fast decisions are required.</w:t>
      </w:r>
    </w:p>
    <w:p w:rsidR="00E57553" w:rsidRDefault="00E57553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CC1575" w:rsidRDefault="00CC1575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CC1575" w:rsidRDefault="00CC1575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730301" w:rsidRPr="00E415B3" w:rsidRDefault="00730301" w:rsidP="00730301">
      <w:pPr>
        <w:tabs>
          <w:tab w:val="left" w:pos="5490"/>
        </w:tabs>
        <w:spacing w:after="0" w:line="360" w:lineRule="auto"/>
        <w:ind w:right="242"/>
        <w:contextualSpacing/>
        <w:jc w:val="both"/>
        <w:rPr>
          <w:rFonts w:ascii="Times New Roman" w:hAnsi="Times New Roman" w:cs="Times New Roman"/>
          <w:szCs w:val="28"/>
        </w:rPr>
      </w:pPr>
      <w:r w:rsidRPr="002960C2">
        <w:rPr>
          <w:rFonts w:ascii="Times New Roman" w:hAnsi="Times New Roman" w:cs="Times New Roman"/>
          <w:b/>
          <w:szCs w:val="28"/>
        </w:rPr>
        <w:t>Result:</w:t>
      </w:r>
      <w:r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the concentration detected using ELISA reader was present in the table below; </w:t>
      </w:r>
    </w:p>
    <w:tbl>
      <w:tblPr>
        <w:tblStyle w:val="LightShading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276"/>
        <w:gridCol w:w="1610"/>
        <w:gridCol w:w="1583"/>
        <w:gridCol w:w="1652"/>
      </w:tblGrid>
      <w:tr w:rsidR="00730301" w:rsidRPr="002960C2" w:rsidTr="002F28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000000" w:themeFill="text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color w:val="FFFFFF" w:themeColor="background1"/>
                <w:szCs w:val="28"/>
              </w:rPr>
            </w:pPr>
            <w:r>
              <w:rPr>
                <w:rFonts w:ascii="Times New Roman" w:hAnsi="Times New Roman" w:cs="Times New Roman"/>
                <w:color w:val="FFFFFF" w:themeColor="background1"/>
                <w:szCs w:val="28"/>
              </w:rPr>
              <w:t>Well</w:t>
            </w:r>
          </w:p>
        </w:tc>
        <w:tc>
          <w:tcPr>
            <w:tcW w:w="1610" w:type="dxa"/>
            <w:shd w:val="clear" w:color="auto" w:fill="000000" w:themeFill="text1"/>
            <w:hideMark/>
          </w:tcPr>
          <w:p w:rsidR="00730301" w:rsidRPr="008950E8" w:rsidRDefault="00730301" w:rsidP="002F28B5">
            <w:pPr>
              <w:tabs>
                <w:tab w:val="left" w:pos="5490"/>
              </w:tabs>
              <w:spacing w:beforeAutospacing="0" w:afterAutospacing="0" w:line="360" w:lineRule="auto"/>
              <w:ind w:right="242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Cs w:val="28"/>
              </w:rPr>
            </w:pPr>
            <w:r w:rsidRPr="008950E8">
              <w:rPr>
                <w:rFonts w:ascii="Times New Roman" w:hAnsi="Times New Roman" w:cs="Times New Roman"/>
                <w:color w:val="FFFFFF" w:themeColor="background1"/>
                <w:szCs w:val="28"/>
              </w:rPr>
              <w:t>Analysts</w:t>
            </w:r>
          </w:p>
        </w:tc>
        <w:tc>
          <w:tcPr>
            <w:tcW w:w="1583" w:type="dxa"/>
            <w:shd w:val="clear" w:color="auto" w:fill="000000" w:themeFill="text1"/>
            <w:hideMark/>
          </w:tcPr>
          <w:p w:rsidR="00730301" w:rsidRPr="008950E8" w:rsidRDefault="00730301" w:rsidP="002F28B5">
            <w:pPr>
              <w:tabs>
                <w:tab w:val="left" w:pos="5490"/>
              </w:tabs>
              <w:spacing w:beforeAutospacing="0" w:afterAutospacing="0" w:line="360" w:lineRule="auto"/>
              <w:ind w:right="242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Cs w:val="28"/>
              </w:rPr>
            </w:pPr>
            <w:r w:rsidRPr="008950E8">
              <w:rPr>
                <w:rFonts w:ascii="Times New Roman" w:hAnsi="Times New Roman" w:cs="Times New Roman"/>
                <w:color w:val="FFFFFF" w:themeColor="background1"/>
                <w:szCs w:val="28"/>
              </w:rPr>
              <w:t>Absorbance</w:t>
            </w:r>
          </w:p>
        </w:tc>
        <w:tc>
          <w:tcPr>
            <w:tcW w:w="1652" w:type="dxa"/>
            <w:shd w:val="clear" w:color="auto" w:fill="000000" w:themeFill="text1"/>
            <w:hideMark/>
          </w:tcPr>
          <w:p w:rsidR="00730301" w:rsidRPr="008950E8" w:rsidRDefault="00730301" w:rsidP="002F28B5">
            <w:pPr>
              <w:tabs>
                <w:tab w:val="left" w:pos="5490"/>
              </w:tabs>
              <w:spacing w:beforeAutospacing="0" w:afterAutospacing="0" w:line="360" w:lineRule="auto"/>
              <w:ind w:right="242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szCs w:val="28"/>
              </w:rPr>
            </w:pPr>
            <w:r w:rsidRPr="008950E8">
              <w:rPr>
                <w:rFonts w:ascii="Times New Roman" w:hAnsi="Times New Roman" w:cs="Times New Roman"/>
                <w:color w:val="FFFFFF" w:themeColor="background1"/>
                <w:szCs w:val="28"/>
              </w:rPr>
              <w:t>Conc. (ppb)</w:t>
            </w:r>
          </w:p>
        </w:tc>
      </w:tr>
      <w:tr w:rsidR="00730301" w:rsidRPr="002960C2" w:rsidTr="002F2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C1</w:t>
            </w:r>
          </w:p>
        </w:tc>
        <w:tc>
          <w:tcPr>
            <w:tcW w:w="161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6C20BD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6C20BD">
              <w:rPr>
                <w:rFonts w:ascii="Times New Roman" w:hAnsi="Times New Roman" w:cs="Times New Roman"/>
                <w:szCs w:val="28"/>
              </w:rPr>
              <w:t>Standard 1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2.103</w:t>
            </w:r>
          </w:p>
        </w:tc>
        <w:tc>
          <w:tcPr>
            <w:tcW w:w="1652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0</w:t>
            </w:r>
          </w:p>
        </w:tc>
      </w:tr>
      <w:tr w:rsidR="00730301" w:rsidRPr="002960C2" w:rsidTr="002F28B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C2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6C20BD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6C20BD">
              <w:rPr>
                <w:rFonts w:ascii="Times New Roman" w:hAnsi="Times New Roman" w:cs="Times New Roman"/>
                <w:szCs w:val="28"/>
              </w:rPr>
              <w:t>Standard 2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1.922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1</w:t>
            </w:r>
          </w:p>
        </w:tc>
      </w:tr>
      <w:tr w:rsidR="00730301" w:rsidRPr="002960C2" w:rsidTr="002F2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C3</w:t>
            </w:r>
          </w:p>
        </w:tc>
        <w:tc>
          <w:tcPr>
            <w:tcW w:w="161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6C20BD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6C20BD">
              <w:rPr>
                <w:rFonts w:ascii="Times New Roman" w:hAnsi="Times New Roman" w:cs="Times New Roman"/>
                <w:szCs w:val="28"/>
              </w:rPr>
              <w:t>Standard 3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1.619</w:t>
            </w:r>
          </w:p>
        </w:tc>
        <w:tc>
          <w:tcPr>
            <w:tcW w:w="1652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2</w:t>
            </w:r>
          </w:p>
        </w:tc>
      </w:tr>
      <w:tr w:rsidR="00730301" w:rsidRPr="002960C2" w:rsidTr="002F28B5">
        <w:trPr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C4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6C20BD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6C20BD">
              <w:rPr>
                <w:rFonts w:ascii="Times New Roman" w:hAnsi="Times New Roman" w:cs="Times New Roman"/>
                <w:szCs w:val="28"/>
              </w:rPr>
              <w:t>Standard 4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1.282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4</w:t>
            </w:r>
          </w:p>
        </w:tc>
      </w:tr>
      <w:tr w:rsidR="00730301" w:rsidRPr="002960C2" w:rsidTr="002F2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C5</w:t>
            </w:r>
          </w:p>
        </w:tc>
        <w:tc>
          <w:tcPr>
            <w:tcW w:w="161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6C20BD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6C20BD">
              <w:rPr>
                <w:rFonts w:ascii="Times New Roman" w:hAnsi="Times New Roman" w:cs="Times New Roman"/>
                <w:szCs w:val="28"/>
              </w:rPr>
              <w:t>Standard 5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0.820</w:t>
            </w:r>
          </w:p>
        </w:tc>
        <w:tc>
          <w:tcPr>
            <w:tcW w:w="1652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10</w:t>
            </w:r>
          </w:p>
        </w:tc>
      </w:tr>
      <w:tr w:rsidR="00730301" w:rsidRPr="002960C2" w:rsidTr="002F28B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C6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6C20BD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6C20BD">
              <w:rPr>
                <w:rFonts w:ascii="Times New Roman" w:hAnsi="Times New Roman" w:cs="Times New Roman"/>
                <w:szCs w:val="28"/>
              </w:rPr>
              <w:t>Standard 6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0.562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20</w:t>
            </w:r>
          </w:p>
        </w:tc>
      </w:tr>
      <w:tr w:rsidR="00730301" w:rsidRPr="002960C2" w:rsidTr="002F28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1</w:t>
            </w:r>
          </w:p>
        </w:tc>
        <w:tc>
          <w:tcPr>
            <w:tcW w:w="161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6C20BD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6C20BD">
              <w:rPr>
                <w:rFonts w:ascii="Times New Roman" w:hAnsi="Times New Roman" w:cs="Times New Roman"/>
                <w:szCs w:val="28"/>
              </w:rPr>
              <w:t>Raw Rice</w:t>
            </w:r>
          </w:p>
        </w:tc>
        <w:tc>
          <w:tcPr>
            <w:tcW w:w="158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0.412</w:t>
            </w:r>
          </w:p>
        </w:tc>
        <w:tc>
          <w:tcPr>
            <w:tcW w:w="1652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7.2</w:t>
            </w:r>
          </w:p>
        </w:tc>
      </w:tr>
      <w:tr w:rsidR="00730301" w:rsidRPr="002960C2" w:rsidTr="002F28B5">
        <w:trPr>
          <w:trHeight w:val="3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</w:tcPr>
          <w:p w:rsidR="00730301" w:rsidRPr="008950E8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rPr>
                <w:rFonts w:ascii="Times New Roman" w:hAnsi="Times New Roman" w:cs="Times New Roman"/>
                <w:b w:val="0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Cs w:val="28"/>
              </w:rPr>
              <w:t>2</w:t>
            </w:r>
          </w:p>
        </w:tc>
        <w:tc>
          <w:tcPr>
            <w:tcW w:w="161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730301" w:rsidRPr="006C20BD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6C20BD">
              <w:rPr>
                <w:rFonts w:ascii="Times New Roman" w:hAnsi="Times New Roman" w:cs="Times New Roman"/>
                <w:szCs w:val="28"/>
              </w:rPr>
              <w:t>Wheat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1.341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730301" w:rsidRPr="002960C2" w:rsidRDefault="00730301" w:rsidP="002F28B5">
            <w:pPr>
              <w:tabs>
                <w:tab w:val="left" w:pos="5490"/>
              </w:tabs>
              <w:spacing w:line="360" w:lineRule="auto"/>
              <w:ind w:right="242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8"/>
              </w:rPr>
            </w:pPr>
            <w:r w:rsidRPr="002960C2">
              <w:rPr>
                <w:rFonts w:ascii="Times New Roman" w:hAnsi="Times New Roman" w:cs="Times New Roman"/>
                <w:szCs w:val="28"/>
              </w:rPr>
              <w:t>4.1</w:t>
            </w:r>
          </w:p>
        </w:tc>
      </w:tr>
    </w:tbl>
    <w:p w:rsidR="00730301" w:rsidRPr="002960C2" w:rsidRDefault="00730301" w:rsidP="00730301">
      <w:pPr>
        <w:tabs>
          <w:tab w:val="left" w:pos="5490"/>
        </w:tabs>
        <w:spacing w:after="0" w:line="360" w:lineRule="auto"/>
        <w:ind w:right="242"/>
        <w:contextualSpacing/>
        <w:jc w:val="both"/>
        <w:rPr>
          <w:rFonts w:ascii="Times New Roman" w:hAnsi="Times New Roman" w:cs="Times New Roman"/>
          <w:b/>
          <w:i/>
          <w:szCs w:val="28"/>
        </w:rPr>
      </w:pPr>
      <w:r w:rsidRPr="002960C2">
        <w:rPr>
          <w:rFonts w:ascii="Times New Roman" w:hAnsi="Times New Roman" w:cs="Times New Roman"/>
          <w:i/>
          <w:szCs w:val="28"/>
        </w:rPr>
        <w:t xml:space="preserve">A sample result of </w:t>
      </w:r>
      <w:proofErr w:type="spellStart"/>
      <w:r w:rsidRPr="002960C2">
        <w:rPr>
          <w:rFonts w:ascii="Times New Roman" w:hAnsi="Times New Roman" w:cs="Times New Roman"/>
          <w:i/>
          <w:szCs w:val="28"/>
        </w:rPr>
        <w:t>aflatoxin</w:t>
      </w:r>
      <w:proofErr w:type="spellEnd"/>
      <w:r w:rsidRPr="002960C2">
        <w:rPr>
          <w:rFonts w:ascii="Times New Roman" w:hAnsi="Times New Roman" w:cs="Times New Roman"/>
          <w:i/>
          <w:szCs w:val="28"/>
        </w:rPr>
        <w:t xml:space="preserve"> from ELISA reader</w:t>
      </w:r>
      <w:r w:rsidRPr="002960C2">
        <w:rPr>
          <w:rFonts w:ascii="Times New Roman" w:hAnsi="Times New Roman" w:cs="Times New Roman"/>
          <w:b/>
          <w:i/>
          <w:szCs w:val="28"/>
        </w:rPr>
        <w:t>.</w:t>
      </w:r>
    </w:p>
    <w:p w:rsidR="00730301" w:rsidRPr="002960C2" w:rsidRDefault="00730301" w:rsidP="00730301">
      <w:pPr>
        <w:tabs>
          <w:tab w:val="left" w:pos="5490"/>
        </w:tabs>
        <w:spacing w:after="0" w:line="360" w:lineRule="auto"/>
        <w:ind w:right="242"/>
        <w:contextualSpacing/>
        <w:jc w:val="both"/>
        <w:rPr>
          <w:rFonts w:ascii="Times New Roman" w:hAnsi="Times New Roman" w:cs="Times New Roman"/>
          <w:b/>
          <w:i/>
          <w:szCs w:val="28"/>
        </w:rPr>
      </w:pPr>
    </w:p>
    <w:p w:rsidR="00730301" w:rsidRDefault="00730301" w:rsidP="00730301">
      <w:pPr>
        <w:tabs>
          <w:tab w:val="left" w:pos="5490"/>
        </w:tabs>
        <w:spacing w:after="0" w:line="360" w:lineRule="auto"/>
        <w:ind w:right="242"/>
        <w:contextualSpacing/>
        <w:jc w:val="both"/>
        <w:rPr>
          <w:rFonts w:ascii="Times New Roman" w:hAnsi="Times New Roman" w:cs="Times New Roman"/>
          <w:i/>
          <w:szCs w:val="28"/>
        </w:rPr>
      </w:pPr>
      <w:r w:rsidRPr="002960C2">
        <w:rPr>
          <w:rFonts w:ascii="Times New Roman" w:hAnsi="Times New Roman" w:cs="Times New Roman"/>
          <w:noProof/>
          <w:szCs w:val="28"/>
          <w:lang w:val="en-US" w:eastAsia="en-US"/>
        </w:rPr>
        <w:lastRenderedPageBreak/>
        <w:drawing>
          <wp:anchor distT="0" distB="0" distL="114300" distR="114300" simplePos="0" relativeHeight="251661312" behindDoc="0" locked="0" layoutInCell="1" allowOverlap="1" wp14:anchorId="5144C590" wp14:editId="565C012D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584065" cy="2755265"/>
            <wp:effectExtent l="0" t="0" r="6985" b="6985"/>
            <wp:wrapSquare wrapText="bothSides"/>
            <wp:docPr id="22" name="Chart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960C2">
        <w:rPr>
          <w:rFonts w:ascii="Times New Roman" w:hAnsi="Times New Roman" w:cs="Times New Roman"/>
          <w:szCs w:val="28"/>
        </w:rPr>
        <w:br w:type="textWrapping" w:clear="all"/>
      </w:r>
      <w:r w:rsidRPr="002960C2">
        <w:rPr>
          <w:rFonts w:ascii="Times New Roman" w:hAnsi="Times New Roman" w:cs="Times New Roman"/>
          <w:i/>
          <w:szCs w:val="28"/>
        </w:rPr>
        <w:t>The graph of absorbance against concentration (ppb)</w:t>
      </w:r>
    </w:p>
    <w:p w:rsidR="00CC1575" w:rsidRDefault="00CC1575" w:rsidP="00CC1575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CC1575" w:rsidRDefault="00CC1575" w:rsidP="00CC1575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CC1575" w:rsidRDefault="00CC1575" w:rsidP="00CC1575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CC1575" w:rsidRDefault="00CC1575" w:rsidP="00CC1575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Reference:</w:t>
      </w:r>
    </w:p>
    <w:p w:rsidR="00CC1575" w:rsidRPr="00B97F14" w:rsidRDefault="00CC1575" w:rsidP="00CC1575">
      <w:pPr>
        <w:autoSpaceDE w:val="0"/>
        <w:autoSpaceDN w:val="0"/>
        <w:adjustRightInd w:val="0"/>
        <w:spacing w:line="240" w:lineRule="auto"/>
        <w:ind w:left="709" w:hanging="709"/>
        <w:jc w:val="both"/>
        <w:rPr>
          <w:rFonts w:ascii="Times New Roman" w:eastAsia="TimesNewRoman" w:hAnsi="Times New Roman" w:cs="Times New Roman"/>
          <w:i/>
          <w:iCs/>
          <w:lang w:eastAsia="en-US"/>
        </w:rPr>
      </w:pPr>
      <w:proofErr w:type="spellStart"/>
      <w:r w:rsidRPr="00B97F14">
        <w:rPr>
          <w:rFonts w:ascii="Times New Roman" w:eastAsia="TimesNewRoman" w:hAnsi="Times New Roman" w:cs="Times New Roman"/>
          <w:lang w:eastAsia="en-US"/>
        </w:rPr>
        <w:t>Kolosova</w:t>
      </w:r>
      <w:proofErr w:type="spellEnd"/>
      <w:r w:rsidRPr="00B97F14">
        <w:rPr>
          <w:rFonts w:ascii="Times New Roman" w:eastAsia="TimesNewRoman" w:hAnsi="Times New Roman" w:cs="Times New Roman"/>
          <w:lang w:eastAsia="en-US"/>
        </w:rPr>
        <w:t xml:space="preserve"> AY, Shim W-B, Yang Z-Y, </w:t>
      </w:r>
      <w:proofErr w:type="spellStart"/>
      <w:r w:rsidRPr="00B97F14">
        <w:rPr>
          <w:rFonts w:ascii="Times New Roman" w:eastAsia="TimesNewRoman" w:hAnsi="Times New Roman" w:cs="Times New Roman"/>
          <w:lang w:eastAsia="en-US"/>
        </w:rPr>
        <w:t>Eremin</w:t>
      </w:r>
      <w:proofErr w:type="spellEnd"/>
      <w:r w:rsidRPr="00B97F14">
        <w:rPr>
          <w:rFonts w:ascii="Times New Roman" w:eastAsia="TimesNewRoman" w:hAnsi="Times New Roman" w:cs="Times New Roman"/>
          <w:lang w:eastAsia="en-US"/>
        </w:rPr>
        <w:t xml:space="preserve"> SA, Chung D-H, </w:t>
      </w:r>
      <w:r w:rsidRPr="00B97F14">
        <w:rPr>
          <w:rFonts w:ascii="Times New Roman" w:eastAsia="TimesNewRoman" w:hAnsi="Times New Roman" w:cs="Times New Roman"/>
          <w:i/>
          <w:iCs/>
          <w:lang w:eastAsia="en-US"/>
        </w:rPr>
        <w:t>Direct competitive ELISA based</w:t>
      </w:r>
      <w:r>
        <w:rPr>
          <w:rFonts w:ascii="Times New Roman" w:eastAsia="TimesNewRoman" w:hAnsi="Times New Roman" w:cs="Times New Roman"/>
          <w:i/>
          <w:iCs/>
          <w:lang w:eastAsia="en-US"/>
        </w:rPr>
        <w:t xml:space="preserve"> </w:t>
      </w:r>
      <w:r w:rsidRPr="00B97F14">
        <w:rPr>
          <w:rFonts w:ascii="Times New Roman" w:eastAsia="TimesNewRoman" w:hAnsi="Times New Roman" w:cs="Times New Roman"/>
          <w:i/>
          <w:iCs/>
          <w:lang w:eastAsia="en-US"/>
        </w:rPr>
        <w:t xml:space="preserve">on a monoclonal antibody for detection of </w:t>
      </w:r>
      <w:proofErr w:type="spellStart"/>
      <w:r w:rsidRPr="00B97F14">
        <w:rPr>
          <w:rFonts w:ascii="Times New Roman" w:eastAsia="TimesNewRoman" w:hAnsi="Times New Roman" w:cs="Times New Roman"/>
          <w:i/>
          <w:iCs/>
          <w:lang w:eastAsia="en-US"/>
        </w:rPr>
        <w:t>aflatoxin</w:t>
      </w:r>
      <w:proofErr w:type="spellEnd"/>
      <w:r w:rsidRPr="00B97F14">
        <w:rPr>
          <w:rFonts w:ascii="Times New Roman" w:eastAsia="TimesNewRoman" w:hAnsi="Times New Roman" w:cs="Times New Roman"/>
          <w:i/>
          <w:iCs/>
          <w:lang w:eastAsia="en-US"/>
        </w:rPr>
        <w:t xml:space="preserve"> B1. Stabil</w:t>
      </w:r>
      <w:r>
        <w:rPr>
          <w:rFonts w:ascii="Times New Roman" w:eastAsia="TimesNewRoman" w:hAnsi="Times New Roman" w:cs="Times New Roman"/>
          <w:i/>
          <w:iCs/>
          <w:lang w:eastAsia="en-US"/>
        </w:rPr>
        <w:t xml:space="preserve">ization of ELISA kit components </w:t>
      </w:r>
      <w:r w:rsidRPr="00B97F14">
        <w:rPr>
          <w:rFonts w:ascii="Times New Roman" w:eastAsia="TimesNewRoman" w:hAnsi="Times New Roman" w:cs="Times New Roman"/>
          <w:i/>
          <w:iCs/>
          <w:lang w:eastAsia="en-US"/>
        </w:rPr>
        <w:t>and application to grain sample</w:t>
      </w:r>
      <w:r w:rsidRPr="00B97F14">
        <w:rPr>
          <w:rFonts w:ascii="Times New Roman" w:eastAsia="TimesNewRoman" w:hAnsi="Times New Roman" w:cs="Times New Roman"/>
          <w:lang w:eastAsia="en-US"/>
        </w:rPr>
        <w:t xml:space="preserve">, </w:t>
      </w:r>
      <w:r w:rsidRPr="00B97F14">
        <w:rPr>
          <w:rFonts w:ascii="Times New Roman" w:eastAsia="TimesNewRoman" w:hAnsi="Times New Roman" w:cs="Times New Roman"/>
          <w:b/>
          <w:bCs/>
          <w:i/>
          <w:iCs/>
          <w:lang w:eastAsia="en-US"/>
        </w:rPr>
        <w:t xml:space="preserve">Anal. </w:t>
      </w:r>
      <w:proofErr w:type="spellStart"/>
      <w:r w:rsidRPr="00B97F14">
        <w:rPr>
          <w:rFonts w:ascii="Times New Roman" w:eastAsia="TimesNewRoman" w:hAnsi="Times New Roman" w:cs="Times New Roman"/>
          <w:b/>
          <w:bCs/>
          <w:i/>
          <w:iCs/>
          <w:lang w:eastAsia="en-US"/>
        </w:rPr>
        <w:t>Bioanal</w:t>
      </w:r>
      <w:proofErr w:type="spellEnd"/>
      <w:r w:rsidRPr="00B97F14">
        <w:rPr>
          <w:rFonts w:ascii="Times New Roman" w:eastAsia="TimesNewRoman" w:hAnsi="Times New Roman" w:cs="Times New Roman"/>
          <w:b/>
          <w:bCs/>
          <w:i/>
          <w:iCs/>
          <w:lang w:eastAsia="en-US"/>
        </w:rPr>
        <w:t>. Chem.</w:t>
      </w:r>
      <w:r w:rsidRPr="00B97F14">
        <w:rPr>
          <w:rFonts w:ascii="Times New Roman" w:eastAsia="TimesNewRoman" w:hAnsi="Times New Roman" w:cs="Times New Roman"/>
          <w:lang w:eastAsia="en-US"/>
        </w:rPr>
        <w:t xml:space="preserve">, </w:t>
      </w:r>
      <w:r w:rsidRPr="00B97F14">
        <w:rPr>
          <w:rFonts w:ascii="Times New Roman" w:eastAsia="TimesNewRoman" w:hAnsi="Times New Roman" w:cs="Times New Roman"/>
          <w:b/>
          <w:bCs/>
          <w:lang w:eastAsia="en-US"/>
        </w:rPr>
        <w:t>384</w:t>
      </w:r>
      <w:r w:rsidRPr="00B97F14">
        <w:rPr>
          <w:rFonts w:ascii="Times New Roman" w:eastAsia="TimesNewRoman" w:hAnsi="Times New Roman" w:cs="Times New Roman"/>
          <w:lang w:eastAsia="en-US"/>
        </w:rPr>
        <w:t>, 286–294 (2006).</w:t>
      </w:r>
    </w:p>
    <w:p w:rsidR="00CC1575" w:rsidRPr="00100B70" w:rsidRDefault="00CC1575" w:rsidP="00CC1575">
      <w:pPr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-Roman" w:eastAsiaTheme="minorHAnsi" w:hAnsi="Times-Roman" w:cs="Times-Roman"/>
          <w:lang w:eastAsia="en-US"/>
        </w:rPr>
      </w:pPr>
      <w:proofErr w:type="spellStart"/>
      <w:r w:rsidRPr="00100B70">
        <w:rPr>
          <w:rFonts w:ascii="Times-Roman" w:eastAsiaTheme="minorHAnsi" w:hAnsi="Times-Roman" w:cs="Times-Roman"/>
          <w:lang w:eastAsia="en-US"/>
        </w:rPr>
        <w:t>Lanyasuna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T.P., L.W.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Wame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, H.H. Musa, O.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Olowofeso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and I.K.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Lokwaleput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. 2005. The risk of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mycotoxins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contamination of dairy feed and milk on dairy farm in Kenya. Pakistan Journal of Nutrition, 4(3): 162–169.</w:t>
      </w:r>
    </w:p>
    <w:p w:rsidR="00CC1575" w:rsidRPr="00100B70" w:rsidRDefault="00CC1575" w:rsidP="00CC1575">
      <w:pPr>
        <w:autoSpaceDE w:val="0"/>
        <w:autoSpaceDN w:val="0"/>
        <w:adjustRightInd w:val="0"/>
        <w:spacing w:line="240" w:lineRule="auto"/>
        <w:ind w:left="993" w:hanging="993"/>
        <w:jc w:val="both"/>
        <w:rPr>
          <w:rFonts w:ascii="Times-Roman" w:eastAsiaTheme="minorHAnsi" w:hAnsi="Times-Roman" w:cs="Times-Roman"/>
          <w:lang w:eastAsia="en-US"/>
        </w:rPr>
      </w:pPr>
      <w:r w:rsidRPr="00100B70">
        <w:rPr>
          <w:rFonts w:ascii="Times-Roman" w:eastAsiaTheme="minorHAnsi" w:hAnsi="Times-Roman" w:cs="Times-Roman"/>
          <w:lang w:eastAsia="en-US"/>
        </w:rPr>
        <w:t xml:space="preserve">Martins H.M., M.M. Mendes and F.M. Bernardo. 2007. Occurrence of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aflatoxin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B1 in dairy cow feed over 10 years in Portugal (1995-2004).Rev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Iberoam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Micol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>, 24(1): 69-71.</w:t>
      </w:r>
    </w:p>
    <w:p w:rsidR="00CC1575" w:rsidRPr="00100B70" w:rsidRDefault="00CC1575" w:rsidP="00CC1575">
      <w:pPr>
        <w:autoSpaceDE w:val="0"/>
        <w:autoSpaceDN w:val="0"/>
        <w:adjustRightInd w:val="0"/>
        <w:spacing w:line="240" w:lineRule="auto"/>
        <w:ind w:left="851" w:hanging="851"/>
        <w:jc w:val="both"/>
        <w:rPr>
          <w:rFonts w:ascii="Times-Roman" w:eastAsiaTheme="minorHAnsi" w:hAnsi="Times-Roman" w:cs="Times-Roman"/>
          <w:lang w:eastAsia="en-US"/>
        </w:rPr>
      </w:pPr>
      <w:proofErr w:type="spellStart"/>
      <w:r w:rsidRPr="00100B70">
        <w:rPr>
          <w:rFonts w:ascii="Times-Roman" w:eastAsiaTheme="minorHAnsi" w:hAnsi="Times-Roman" w:cs="Times-Roman"/>
          <w:lang w:eastAsia="en-US"/>
        </w:rPr>
        <w:t>Osweiler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G. 2005. Diagnostic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mycotoxin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assays for at the ISU veterinary diagnostic laboratory. Iowa State University, Ames, Iowa.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pp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>: 3-4.</w:t>
      </w:r>
    </w:p>
    <w:p w:rsidR="00CC1575" w:rsidRPr="00100B70" w:rsidRDefault="00CC1575" w:rsidP="00CC1575">
      <w:pPr>
        <w:autoSpaceDE w:val="0"/>
        <w:autoSpaceDN w:val="0"/>
        <w:adjustRightInd w:val="0"/>
        <w:spacing w:line="240" w:lineRule="auto"/>
        <w:ind w:left="709" w:hanging="709"/>
        <w:jc w:val="both"/>
        <w:rPr>
          <w:rFonts w:ascii="Times-Roman" w:eastAsiaTheme="minorHAnsi" w:hAnsi="Times-Roman" w:cs="Times-Roman"/>
          <w:lang w:eastAsia="en-US"/>
        </w:rPr>
      </w:pPr>
      <w:proofErr w:type="spellStart"/>
      <w:r w:rsidRPr="00100B70">
        <w:rPr>
          <w:rFonts w:ascii="Times-Roman" w:eastAsiaTheme="minorHAnsi" w:hAnsi="Times-Roman" w:cs="Times-Roman"/>
          <w:lang w:eastAsia="en-US"/>
        </w:rPr>
        <w:t>Özsoy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S.M., K.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Altunatmaz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, H.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Horoz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, G.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Kasikcle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, S.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Alkan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and T.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Bilat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. 2005. The Relationship between Lameness, Fertility and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Aflatoxin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 xml:space="preserve"> in a Dairy Cattle </w:t>
      </w:r>
      <w:proofErr w:type="spellStart"/>
      <w:r w:rsidRPr="00100B70">
        <w:rPr>
          <w:rFonts w:ascii="Times-Roman" w:eastAsiaTheme="minorHAnsi" w:hAnsi="Times-Roman" w:cs="Times-Roman"/>
          <w:lang w:eastAsia="en-US"/>
        </w:rPr>
        <w:t>Herd.Turk</w:t>
      </w:r>
      <w:proofErr w:type="spellEnd"/>
      <w:r w:rsidRPr="00100B70">
        <w:rPr>
          <w:rFonts w:ascii="Times-Roman" w:eastAsiaTheme="minorHAnsi" w:hAnsi="Times-Roman" w:cs="Times-Roman"/>
          <w:lang w:eastAsia="en-US"/>
        </w:rPr>
        <w:t>. Journal of Veterinary and Animal Science, 29: 981–986.</w:t>
      </w:r>
    </w:p>
    <w:p w:rsidR="00CC1575" w:rsidRPr="00BB48F6" w:rsidRDefault="00CC1575" w:rsidP="00CC1575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Times New Roman" w:eastAsia="TimesNewRoman" w:hAnsi="Times New Roman" w:cs="Times New Roman"/>
          <w:szCs w:val="18"/>
          <w:lang w:eastAsia="en-US"/>
        </w:rPr>
      </w:pPr>
      <w:proofErr w:type="spellStart"/>
      <w:r w:rsidRPr="00BB48F6">
        <w:rPr>
          <w:rFonts w:ascii="Times New Roman" w:eastAsia="TimesNewRoman" w:hAnsi="Times New Roman" w:cs="Times New Roman"/>
          <w:szCs w:val="18"/>
          <w:lang w:eastAsia="en-US"/>
        </w:rPr>
        <w:t>Oancea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 S, </w:t>
      </w:r>
      <w:proofErr w:type="spellStart"/>
      <w:r w:rsidRPr="00BB48F6">
        <w:rPr>
          <w:rFonts w:ascii="Times New Roman" w:eastAsia="TimesNewRoman" w:hAnsi="Times New Roman" w:cs="Times New Roman"/>
          <w:szCs w:val="18"/>
          <w:lang w:eastAsia="en-US"/>
        </w:rPr>
        <w:t>Stoia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 M, </w:t>
      </w:r>
      <w:proofErr w:type="spellStart"/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>Mycotoxins</w:t>
      </w:r>
      <w:proofErr w:type="spellEnd"/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>: A review of toxicology, analytical methods and health risks</w:t>
      </w:r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, </w:t>
      </w:r>
      <w:proofErr w:type="spellStart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>Acta</w:t>
      </w:r>
      <w:proofErr w:type="spellEnd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 xml:space="preserve"> </w:t>
      </w:r>
      <w:proofErr w:type="spellStart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>Universitatis</w:t>
      </w:r>
      <w:proofErr w:type="spellEnd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 xml:space="preserve"> </w:t>
      </w:r>
      <w:proofErr w:type="spellStart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>Cibiensis</w:t>
      </w:r>
      <w:proofErr w:type="spellEnd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 xml:space="preserve"> Series E: FOOD TECHNOLOGY</w:t>
      </w:r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, </w:t>
      </w:r>
      <w:r w:rsidRPr="00BB48F6">
        <w:rPr>
          <w:rFonts w:ascii="Times New Roman" w:eastAsia="TimesNewRoman" w:hAnsi="Times New Roman" w:cs="Times New Roman"/>
          <w:b/>
          <w:bCs/>
          <w:szCs w:val="18"/>
          <w:lang w:eastAsia="en-US"/>
        </w:rPr>
        <w:t>Vol. XII</w:t>
      </w:r>
      <w:r w:rsidRPr="00BB48F6">
        <w:rPr>
          <w:rFonts w:ascii="Times New Roman" w:eastAsia="TimesNewRoman" w:hAnsi="Times New Roman" w:cs="Times New Roman"/>
          <w:szCs w:val="18"/>
          <w:lang w:eastAsia="en-US"/>
        </w:rPr>
        <w:t>, no.1, 19–36 (2008).</w:t>
      </w:r>
    </w:p>
    <w:p w:rsidR="00CC1575" w:rsidRDefault="00CC1575" w:rsidP="00CC1575">
      <w:pPr>
        <w:autoSpaceDE w:val="0"/>
        <w:autoSpaceDN w:val="0"/>
        <w:adjustRightInd w:val="0"/>
        <w:spacing w:line="240" w:lineRule="auto"/>
        <w:ind w:left="709" w:hanging="709"/>
        <w:jc w:val="both"/>
        <w:rPr>
          <w:rFonts w:ascii="Times New Roman" w:eastAsia="TimesNewRoman" w:hAnsi="Times New Roman" w:cs="Times New Roman"/>
          <w:szCs w:val="18"/>
          <w:lang w:eastAsia="en-US"/>
        </w:rPr>
      </w:pPr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Turner NW, </w:t>
      </w:r>
      <w:proofErr w:type="spellStart"/>
      <w:r w:rsidRPr="00BB48F6">
        <w:rPr>
          <w:rFonts w:ascii="Times New Roman" w:eastAsia="TimesNewRoman" w:hAnsi="Times New Roman" w:cs="Times New Roman"/>
          <w:szCs w:val="18"/>
          <w:lang w:eastAsia="en-US"/>
        </w:rPr>
        <w:t>Subrahmanyam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 S, </w:t>
      </w:r>
      <w:proofErr w:type="spellStart"/>
      <w:r w:rsidRPr="00BB48F6">
        <w:rPr>
          <w:rFonts w:ascii="Times New Roman" w:eastAsia="TimesNewRoman" w:hAnsi="Times New Roman" w:cs="Times New Roman"/>
          <w:szCs w:val="18"/>
          <w:lang w:eastAsia="en-US"/>
        </w:rPr>
        <w:t>Piletsky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 SA, </w:t>
      </w:r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 xml:space="preserve">Analytical methods for determination of </w:t>
      </w:r>
      <w:proofErr w:type="spellStart"/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>mycotoxins</w:t>
      </w:r>
      <w:proofErr w:type="spellEnd"/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>: A review</w:t>
      </w:r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, </w:t>
      </w:r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 xml:space="preserve">Anal. </w:t>
      </w:r>
      <w:proofErr w:type="spellStart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>Chim</w:t>
      </w:r>
      <w:proofErr w:type="spellEnd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 xml:space="preserve">. </w:t>
      </w:r>
      <w:proofErr w:type="spellStart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>Acta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, </w:t>
      </w:r>
      <w:r w:rsidRPr="00BB48F6">
        <w:rPr>
          <w:rFonts w:ascii="Times New Roman" w:eastAsia="TimesNewRoman" w:hAnsi="Times New Roman" w:cs="Times New Roman"/>
          <w:b/>
          <w:bCs/>
          <w:szCs w:val="18"/>
          <w:lang w:eastAsia="en-US"/>
        </w:rPr>
        <w:t>632</w:t>
      </w:r>
      <w:r w:rsidRPr="00BB48F6">
        <w:rPr>
          <w:rFonts w:ascii="Times New Roman" w:eastAsia="TimesNewRoman" w:hAnsi="Times New Roman" w:cs="Times New Roman"/>
          <w:szCs w:val="18"/>
          <w:lang w:eastAsia="en-US"/>
        </w:rPr>
        <w:t>, 168–180 (2009).</w:t>
      </w:r>
    </w:p>
    <w:p w:rsidR="00730301" w:rsidRDefault="00CC1575" w:rsidP="00CC1575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Times New Roman" w:eastAsia="TimesNewRoman" w:hAnsi="Times New Roman" w:cs="Times New Roman"/>
          <w:i/>
          <w:iCs/>
          <w:szCs w:val="18"/>
          <w:lang w:eastAsia="en-US"/>
        </w:rPr>
      </w:pPr>
      <w:proofErr w:type="spellStart"/>
      <w:r w:rsidRPr="00BB48F6">
        <w:rPr>
          <w:rFonts w:ascii="Times New Roman" w:eastAsia="TimesNewRoman" w:hAnsi="Times New Roman" w:cs="Times New Roman"/>
          <w:szCs w:val="18"/>
          <w:lang w:eastAsia="en-US"/>
        </w:rPr>
        <w:t>Zinedine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 A, </w:t>
      </w:r>
      <w:proofErr w:type="spellStart"/>
      <w:r w:rsidRPr="00BB48F6">
        <w:rPr>
          <w:rFonts w:ascii="Times New Roman" w:eastAsia="TimesNewRoman" w:hAnsi="Times New Roman" w:cs="Times New Roman"/>
          <w:szCs w:val="18"/>
          <w:lang w:eastAsia="en-US"/>
        </w:rPr>
        <w:t>Soariano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 JM, </w:t>
      </w:r>
      <w:proofErr w:type="spellStart"/>
      <w:r w:rsidRPr="00BB48F6">
        <w:rPr>
          <w:rFonts w:ascii="Times New Roman" w:eastAsia="TimesNewRoman" w:hAnsi="Times New Roman" w:cs="Times New Roman"/>
          <w:szCs w:val="18"/>
          <w:lang w:eastAsia="en-US"/>
        </w:rPr>
        <w:t>Moltó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 JC, </w:t>
      </w:r>
      <w:proofErr w:type="spellStart"/>
      <w:r w:rsidRPr="00BB48F6">
        <w:rPr>
          <w:rFonts w:ascii="Times New Roman" w:eastAsia="TimesNewRoman" w:hAnsi="Times New Roman" w:cs="Times New Roman"/>
          <w:szCs w:val="18"/>
          <w:lang w:eastAsia="en-US"/>
        </w:rPr>
        <w:t>Maňes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 J, </w:t>
      </w:r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 xml:space="preserve">Review on the toxicity, occurrence, metabolism, detoxification, regulations and intake of </w:t>
      </w:r>
      <w:proofErr w:type="spellStart"/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>zearalenone</w:t>
      </w:r>
      <w:proofErr w:type="spellEnd"/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 xml:space="preserve">: An oestrogenic </w:t>
      </w:r>
      <w:proofErr w:type="spellStart"/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>mycotoxin</w:t>
      </w:r>
      <w:proofErr w:type="spellEnd"/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, </w:t>
      </w:r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>Food &amp; Chem.</w:t>
      </w:r>
      <w:r w:rsidRPr="00BB48F6">
        <w:rPr>
          <w:rFonts w:ascii="Times New Roman" w:eastAsia="TimesNewRoman" w:hAnsi="Times New Roman" w:cs="Times New Roman"/>
          <w:i/>
          <w:iCs/>
          <w:szCs w:val="18"/>
          <w:lang w:eastAsia="en-US"/>
        </w:rPr>
        <w:t xml:space="preserve"> </w:t>
      </w:r>
      <w:proofErr w:type="spellStart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>Toxicol</w:t>
      </w:r>
      <w:proofErr w:type="spellEnd"/>
      <w:r w:rsidRPr="00BB48F6">
        <w:rPr>
          <w:rFonts w:ascii="Times New Roman" w:eastAsia="TimesNewRoman" w:hAnsi="Times New Roman" w:cs="Times New Roman"/>
          <w:b/>
          <w:bCs/>
          <w:i/>
          <w:iCs/>
          <w:szCs w:val="18"/>
          <w:lang w:eastAsia="en-US"/>
        </w:rPr>
        <w:t>.</w:t>
      </w:r>
      <w:r w:rsidRPr="00BB48F6">
        <w:rPr>
          <w:rFonts w:ascii="Times New Roman" w:eastAsia="TimesNewRoman" w:hAnsi="Times New Roman" w:cs="Times New Roman"/>
          <w:szCs w:val="18"/>
          <w:lang w:eastAsia="en-US"/>
        </w:rPr>
        <w:t xml:space="preserve">, </w:t>
      </w:r>
      <w:r w:rsidRPr="00BB48F6">
        <w:rPr>
          <w:rFonts w:ascii="Times New Roman" w:eastAsia="TimesNewRoman" w:hAnsi="Times New Roman" w:cs="Times New Roman"/>
          <w:b/>
          <w:bCs/>
          <w:szCs w:val="18"/>
          <w:lang w:eastAsia="en-US"/>
        </w:rPr>
        <w:t>45</w:t>
      </w:r>
      <w:r w:rsidRPr="00BB48F6">
        <w:rPr>
          <w:rFonts w:ascii="Times New Roman" w:eastAsia="TimesNewRoman" w:hAnsi="Times New Roman" w:cs="Times New Roman"/>
          <w:szCs w:val="18"/>
          <w:lang w:eastAsia="en-US"/>
        </w:rPr>
        <w:t>, 1–18 (2007).</w:t>
      </w:r>
    </w:p>
    <w:p w:rsidR="00CC1575" w:rsidRDefault="00CC1575" w:rsidP="00CC1575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Times New Roman" w:eastAsia="TimesNewRoman" w:hAnsi="Times New Roman" w:cs="Times New Roman"/>
          <w:i/>
          <w:iCs/>
          <w:szCs w:val="18"/>
          <w:lang w:eastAsia="en-US"/>
        </w:rPr>
      </w:pPr>
    </w:p>
    <w:p w:rsidR="00CC1575" w:rsidRDefault="00CC1575" w:rsidP="00CC1575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Times New Roman" w:eastAsia="TimesNewRoman" w:hAnsi="Times New Roman" w:cs="Times New Roman"/>
          <w:i/>
          <w:iCs/>
          <w:szCs w:val="18"/>
          <w:lang w:eastAsia="en-US"/>
        </w:rPr>
      </w:pPr>
    </w:p>
    <w:p w:rsidR="00CC1575" w:rsidRPr="00CC1575" w:rsidRDefault="00CC1575" w:rsidP="00CC1575">
      <w:pPr>
        <w:autoSpaceDE w:val="0"/>
        <w:autoSpaceDN w:val="0"/>
        <w:adjustRightInd w:val="0"/>
        <w:spacing w:line="240" w:lineRule="auto"/>
        <w:ind w:left="567" w:hanging="567"/>
        <w:jc w:val="both"/>
        <w:rPr>
          <w:rFonts w:ascii="Times New Roman" w:eastAsia="TimesNewRoman" w:hAnsi="Times New Roman" w:cs="Times New Roman"/>
          <w:i/>
          <w:iCs/>
          <w:szCs w:val="18"/>
          <w:lang w:eastAsia="en-US"/>
        </w:rPr>
      </w:pPr>
      <w:bookmarkStart w:id="0" w:name="_GoBack"/>
      <w:bookmarkEnd w:id="0"/>
    </w:p>
    <w:p w:rsidR="00E57553" w:rsidRDefault="00644A86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noProof/>
          <w:szCs w:val="28"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1819275" cy="1228725"/>
                <wp:effectExtent l="0" t="0" r="9525" b="95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275" cy="1228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4A86" w:rsidRDefault="00644A86" w:rsidP="00644A86">
                            <w:pPr>
                              <w:jc w:val="center"/>
                            </w:pPr>
                            <w:r w:rsidRPr="00644A86">
                              <w:rPr>
                                <w:noProof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1608173" cy="1171575"/>
                                  <wp:effectExtent l="0" t="0" r="0" b="0"/>
                                  <wp:docPr id="2" name="Picture 2" descr="C:\Users\Xikprof\Documents\Xikpr@f\SIWES-GIWA HOSPITAL\IMG_20171127_164908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Xikprof\Documents\Xikpr@f\SIWES-GIWA HOSPITAL\IMG_20171127_164908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7">
                                                    <a14:imgEffect>
                                                      <a14:sharpenSoften amount="-25000"/>
                                                    </a14:imgEffect>
                                                    <a14:imgEffect>
                                                      <a14:brightnessContrast bright="2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30411" cy="1187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" o:spid="_x0000_s1026" style="position:absolute;left:0;text-align:left;margin-left:0;margin-top:8.15pt;width:143.25pt;height:96.7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" fillcolor="white [3201]" stroked="f" strokeweight="1pt">
                <v:textbox>
                  <w:txbxContent>
                    <w:p w:rsidR="00644A86" w:rsidRDefault="00644A86" w:rsidP="00644A86">
                      <w:pPr>
                        <w:jc w:val="center"/>
                      </w:pPr>
                      <w:r w:rsidRPr="00644A86">
                        <w:rPr>
                          <w:noProof/>
                          <w:lang w:val="en-US" w:eastAsia="en-US"/>
                        </w:rPr>
                        <w:drawing>
                          <wp:inline distT="0" distB="0" distL="0" distR="0">
                            <wp:extent cx="1608173" cy="1171575"/>
                            <wp:effectExtent l="0" t="0" r="0" b="0"/>
                            <wp:docPr id="2" name="Picture 2" descr="C:\Users\Xikprof\Documents\Xikpr@f\SIWES-GIWA HOSPITAL\IMG_20171127_164908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Xikprof\Documents\Xikpr@f\SIWES-GIWA HOSPITAL\IMG_20171127_164908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7">
                                              <a14:imgEffect>
                                                <a14:sharpenSoften amount="-25000"/>
                                              </a14:imgEffect>
                                              <a14:imgEffect>
                                                <a14:brightnessContrast bright="2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30411" cy="1187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644A86" w:rsidRDefault="00644A86" w:rsidP="00644A86">
      <w:pPr>
        <w:tabs>
          <w:tab w:val="left" w:pos="549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</w:p>
    <w:p w:rsidR="00644A86" w:rsidRDefault="00644A86" w:rsidP="00644A86">
      <w:pPr>
        <w:tabs>
          <w:tab w:val="left" w:pos="549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644A86" w:rsidRDefault="00644A86" w:rsidP="00644A86">
      <w:pPr>
        <w:tabs>
          <w:tab w:val="left" w:pos="549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E57553" w:rsidRPr="00C32EF3" w:rsidRDefault="00644A86" w:rsidP="00644A86">
      <w:pPr>
        <w:tabs>
          <w:tab w:val="left" w:pos="5490"/>
        </w:tabs>
        <w:spacing w:after="0" w:line="360" w:lineRule="auto"/>
        <w:contextualSpacing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</w:t>
      </w:r>
      <w:r w:rsidR="00E57553" w:rsidRPr="00C32EF3">
        <w:rPr>
          <w:rFonts w:ascii="Times New Roman" w:hAnsi="Times New Roman" w:cs="Times New Roman"/>
          <w:b/>
          <w:sz w:val="26"/>
          <w:szCs w:val="26"/>
        </w:rPr>
        <w:t>Biography</w:t>
      </w:r>
    </w:p>
    <w:p w:rsidR="00E57553" w:rsidRPr="00C32EF3" w:rsidRDefault="00E57553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C32EF3">
        <w:rPr>
          <w:rFonts w:ascii="Times New Roman" w:hAnsi="Times New Roman" w:cs="Times New Roman"/>
          <w:sz w:val="26"/>
          <w:szCs w:val="26"/>
        </w:rPr>
        <w:t>Abulhassan</w:t>
      </w:r>
      <w:proofErr w:type="spellEnd"/>
      <w:r w:rsidRPr="00C32EF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C32EF3">
        <w:rPr>
          <w:rFonts w:ascii="Times New Roman" w:hAnsi="Times New Roman" w:cs="Times New Roman"/>
          <w:sz w:val="26"/>
          <w:szCs w:val="26"/>
        </w:rPr>
        <w:t>Zilkifil</w:t>
      </w:r>
      <w:proofErr w:type="spellEnd"/>
      <w:r w:rsidRPr="00C32EF3">
        <w:rPr>
          <w:rFonts w:ascii="Times New Roman" w:hAnsi="Times New Roman" w:cs="Times New Roman"/>
          <w:sz w:val="26"/>
          <w:szCs w:val="26"/>
        </w:rPr>
        <w:t xml:space="preserve"> was born in Zaria, Kaduna state, Nigeria. He is currently studying B.Sc. Biochemistry in </w:t>
      </w:r>
      <w:proofErr w:type="spellStart"/>
      <w:r w:rsidRPr="00C32EF3">
        <w:rPr>
          <w:rFonts w:ascii="Times New Roman" w:hAnsi="Times New Roman" w:cs="Times New Roman"/>
          <w:sz w:val="26"/>
          <w:szCs w:val="26"/>
        </w:rPr>
        <w:t>Bayero</w:t>
      </w:r>
      <w:proofErr w:type="spellEnd"/>
      <w:r w:rsidRPr="00C32EF3">
        <w:rPr>
          <w:rFonts w:ascii="Times New Roman" w:hAnsi="Times New Roman" w:cs="Times New Roman"/>
          <w:sz w:val="26"/>
          <w:szCs w:val="26"/>
        </w:rPr>
        <w:t xml:space="preserve"> University, Kano. He has expertise in research field of toxicology and Molecular Biology</w:t>
      </w:r>
      <w:r w:rsidR="00BA67B0">
        <w:rPr>
          <w:rFonts w:ascii="Times New Roman" w:hAnsi="Times New Roman" w:cs="Times New Roman"/>
          <w:sz w:val="26"/>
          <w:szCs w:val="26"/>
        </w:rPr>
        <w:t xml:space="preserve">. He is the President National Association of Biochemistry Students (NABS), </w:t>
      </w:r>
      <w:proofErr w:type="spellStart"/>
      <w:r w:rsidR="00BA67B0">
        <w:rPr>
          <w:rFonts w:ascii="Times New Roman" w:hAnsi="Times New Roman" w:cs="Times New Roman"/>
          <w:sz w:val="26"/>
          <w:szCs w:val="26"/>
        </w:rPr>
        <w:t>Bayero</w:t>
      </w:r>
      <w:proofErr w:type="spellEnd"/>
      <w:r w:rsidR="00BA67B0">
        <w:rPr>
          <w:rFonts w:ascii="Times New Roman" w:hAnsi="Times New Roman" w:cs="Times New Roman"/>
          <w:sz w:val="26"/>
          <w:szCs w:val="26"/>
        </w:rPr>
        <w:t xml:space="preserve"> University, Kano Chapter.</w:t>
      </w:r>
    </w:p>
    <w:p w:rsidR="00E57553" w:rsidRPr="00C32EF3" w:rsidRDefault="00E57553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E57553" w:rsidRPr="00C32EF3" w:rsidRDefault="00E57553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2EF3">
        <w:rPr>
          <w:rFonts w:ascii="Times New Roman" w:hAnsi="Times New Roman" w:cs="Times New Roman"/>
          <w:sz w:val="26"/>
          <w:szCs w:val="26"/>
        </w:rPr>
        <w:t>Email:</w:t>
      </w:r>
    </w:p>
    <w:p w:rsidR="00E57553" w:rsidRPr="00C32EF3" w:rsidRDefault="00E57553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hyperlink r:id="rId8" w:history="1">
        <w:r w:rsidRPr="00C32EF3">
          <w:rPr>
            <w:rStyle w:val="Hyperlink"/>
            <w:rFonts w:ascii="Times New Roman" w:hAnsi="Times New Roman" w:cs="Times New Roman"/>
            <w:sz w:val="26"/>
            <w:szCs w:val="26"/>
          </w:rPr>
          <w:t>xikprof@gmail.com</w:t>
        </w:r>
      </w:hyperlink>
    </w:p>
    <w:p w:rsidR="00E57553" w:rsidRPr="00C32EF3" w:rsidRDefault="00E57553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32EF3">
        <w:rPr>
          <w:rFonts w:ascii="Times New Roman" w:hAnsi="Times New Roman" w:cs="Times New Roman"/>
          <w:sz w:val="26"/>
          <w:szCs w:val="26"/>
        </w:rPr>
        <w:t>Phone: +2348069430606</w:t>
      </w:r>
    </w:p>
    <w:p w:rsidR="00E57553" w:rsidRDefault="00E57553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E57553" w:rsidRDefault="00E57553" w:rsidP="00F46722">
      <w:pPr>
        <w:tabs>
          <w:tab w:val="left" w:pos="5490"/>
        </w:tabs>
        <w:spacing w:after="0" w:line="360" w:lineRule="auto"/>
        <w:contextualSpacing/>
        <w:jc w:val="both"/>
        <w:rPr>
          <w:rFonts w:ascii="Times New Roman" w:hAnsi="Times New Roman" w:cs="Times New Roman"/>
          <w:b/>
          <w:szCs w:val="28"/>
        </w:rPr>
      </w:pPr>
    </w:p>
    <w:p w:rsidR="00C32369" w:rsidRPr="002960C2" w:rsidRDefault="00C32369" w:rsidP="002960C2">
      <w:pPr>
        <w:spacing w:line="360" w:lineRule="auto"/>
        <w:rPr>
          <w:sz w:val="18"/>
        </w:rPr>
      </w:pPr>
    </w:p>
    <w:sectPr w:rsidR="00C32369" w:rsidRPr="002960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6504B"/>
    <w:multiLevelType w:val="hybridMultilevel"/>
    <w:tmpl w:val="32AC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B13D88"/>
    <w:multiLevelType w:val="multilevel"/>
    <w:tmpl w:val="997CD72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C302B3"/>
    <w:multiLevelType w:val="hybridMultilevel"/>
    <w:tmpl w:val="8188C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DC"/>
    <w:rsid w:val="00000669"/>
    <w:rsid w:val="000138FC"/>
    <w:rsid w:val="00015FD3"/>
    <w:rsid w:val="00022BCF"/>
    <w:rsid w:val="00031C4A"/>
    <w:rsid w:val="00076683"/>
    <w:rsid w:val="00085FDC"/>
    <w:rsid w:val="000A4D1E"/>
    <w:rsid w:val="00100B70"/>
    <w:rsid w:val="001078D9"/>
    <w:rsid w:val="00196048"/>
    <w:rsid w:val="00204DB5"/>
    <w:rsid w:val="00254EC2"/>
    <w:rsid w:val="00282FF9"/>
    <w:rsid w:val="002916C3"/>
    <w:rsid w:val="002960C2"/>
    <w:rsid w:val="002F1C09"/>
    <w:rsid w:val="00312469"/>
    <w:rsid w:val="003718A8"/>
    <w:rsid w:val="00375BA3"/>
    <w:rsid w:val="003823B9"/>
    <w:rsid w:val="0038613C"/>
    <w:rsid w:val="003A2706"/>
    <w:rsid w:val="003B6242"/>
    <w:rsid w:val="004308E3"/>
    <w:rsid w:val="004614FD"/>
    <w:rsid w:val="00471909"/>
    <w:rsid w:val="004B1886"/>
    <w:rsid w:val="004E09C1"/>
    <w:rsid w:val="004E20A9"/>
    <w:rsid w:val="005804C8"/>
    <w:rsid w:val="005B65AB"/>
    <w:rsid w:val="005F298D"/>
    <w:rsid w:val="00644A86"/>
    <w:rsid w:val="006A0C64"/>
    <w:rsid w:val="006A1027"/>
    <w:rsid w:val="006A6785"/>
    <w:rsid w:val="006B1DA5"/>
    <w:rsid w:val="006B7677"/>
    <w:rsid w:val="006C20BD"/>
    <w:rsid w:val="006D0A48"/>
    <w:rsid w:val="00710B73"/>
    <w:rsid w:val="00730301"/>
    <w:rsid w:val="007573E6"/>
    <w:rsid w:val="007A6405"/>
    <w:rsid w:val="007E155D"/>
    <w:rsid w:val="007E6439"/>
    <w:rsid w:val="00835586"/>
    <w:rsid w:val="00842639"/>
    <w:rsid w:val="008471B5"/>
    <w:rsid w:val="00883402"/>
    <w:rsid w:val="008950E8"/>
    <w:rsid w:val="008A52C2"/>
    <w:rsid w:val="008E09E3"/>
    <w:rsid w:val="008F00E1"/>
    <w:rsid w:val="008F1092"/>
    <w:rsid w:val="008F49D0"/>
    <w:rsid w:val="00922E0F"/>
    <w:rsid w:val="0095735B"/>
    <w:rsid w:val="009A79A0"/>
    <w:rsid w:val="00A02E31"/>
    <w:rsid w:val="00A31466"/>
    <w:rsid w:val="00A31D05"/>
    <w:rsid w:val="00A53FB0"/>
    <w:rsid w:val="00A91B1D"/>
    <w:rsid w:val="00AC2BBF"/>
    <w:rsid w:val="00B12AC0"/>
    <w:rsid w:val="00B33C84"/>
    <w:rsid w:val="00B427AA"/>
    <w:rsid w:val="00B43896"/>
    <w:rsid w:val="00B51CA2"/>
    <w:rsid w:val="00B75398"/>
    <w:rsid w:val="00B97F14"/>
    <w:rsid w:val="00BA67B0"/>
    <w:rsid w:val="00BB48F6"/>
    <w:rsid w:val="00C02166"/>
    <w:rsid w:val="00C259CF"/>
    <w:rsid w:val="00C32369"/>
    <w:rsid w:val="00C32EF3"/>
    <w:rsid w:val="00C820E1"/>
    <w:rsid w:val="00CC1575"/>
    <w:rsid w:val="00D05DCE"/>
    <w:rsid w:val="00D324FC"/>
    <w:rsid w:val="00D42278"/>
    <w:rsid w:val="00E16B3B"/>
    <w:rsid w:val="00E415B3"/>
    <w:rsid w:val="00E542DC"/>
    <w:rsid w:val="00E57553"/>
    <w:rsid w:val="00E77957"/>
    <w:rsid w:val="00EA18A3"/>
    <w:rsid w:val="00EA3CB4"/>
    <w:rsid w:val="00EA5B2A"/>
    <w:rsid w:val="00F02DE1"/>
    <w:rsid w:val="00F42E80"/>
    <w:rsid w:val="00F43883"/>
    <w:rsid w:val="00F451D2"/>
    <w:rsid w:val="00F46722"/>
    <w:rsid w:val="00FD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E9E046-DADC-4360-A316-8B767E3A1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35B"/>
    <w:rPr>
      <w:rFonts w:eastAsiaTheme="minorEastAsia"/>
      <w:lang w:eastAsia="en-GB"/>
    </w:rPr>
  </w:style>
  <w:style w:type="paragraph" w:styleId="Heading2">
    <w:name w:val="heading 2"/>
    <w:basedOn w:val="Normal"/>
    <w:link w:val="Heading2Char"/>
    <w:qFormat/>
    <w:rsid w:val="0095735B"/>
    <w:pPr>
      <w:spacing w:before="200" w:after="200" w:line="276" w:lineRule="auto"/>
      <w:outlineLvl w:val="1"/>
    </w:pPr>
    <w:rPr>
      <w:rFonts w:eastAsiaTheme="minorHAnsi"/>
      <w:b/>
      <w:color w:val="4F81BD"/>
      <w:sz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5735B"/>
    <w:rPr>
      <w:b/>
      <w:color w:val="4F81BD"/>
      <w:sz w:val="26"/>
      <w:lang w:val="en-US"/>
    </w:rPr>
  </w:style>
  <w:style w:type="table" w:styleId="LightShading">
    <w:name w:val="Light Shading"/>
    <w:basedOn w:val="TableNormal"/>
    <w:uiPriority w:val="60"/>
    <w:rsid w:val="0095735B"/>
    <w:pPr>
      <w:spacing w:after="0" w:line="240" w:lineRule="auto"/>
    </w:pPr>
    <w:rPr>
      <w:color w:val="000000" w:themeColor="text1" w:themeShade="BF"/>
      <w:lang w:val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1" w:afterLines="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Autospacing="1" w:afterLines="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2F1C09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customStyle="1" w:styleId="Default">
    <w:name w:val="Default"/>
    <w:rsid w:val="00B51C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575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ikprof@gmail.com" TargetMode="Externa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Chart%20in%20Microsoft%20Office%20Word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9"/>
    </mc:Choice>
    <mc:Fallback>
      <c:style val="9"/>
    </mc:Fallback>
  </mc:AlternateContent>
  <c:chart>
    <c:title>
      <c:tx>
        <c:rich>
          <a:bodyPr/>
          <a:lstStyle/>
          <a:p>
            <a:pPr>
              <a:defRPr lang="en-GB"/>
            </a:pPr>
            <a:r>
              <a:rPr lang="en-US"/>
              <a:t>Aflaxtoxin    </a:t>
            </a: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9.2891294838145039E-2"/>
          <c:y val="0.18554425488480891"/>
          <c:w val="0.55731583552056063"/>
          <c:h val="0.68921660834062359"/>
        </c:manualLayout>
      </c:layout>
      <c:scatterChart>
        <c:scatterStyle val="lineMarker"/>
        <c:varyColors val="0"/>
        <c:ser>
          <c:idx val="0"/>
          <c:order val="0"/>
          <c:tx>
            <c:strRef>
              <c:f>'[Chart in Microsoft Office Word]Sheet1'!$D$1</c:f>
              <c:strCache>
                <c:ptCount val="1"/>
                <c:pt idx="0">
                  <c:v>Absorbance2</c:v>
                </c:pt>
              </c:strCache>
            </c:strRef>
          </c:tx>
          <c:spPr>
            <a:ln w="47625">
              <a:noFill/>
            </a:ln>
          </c:spPr>
          <c:trendline>
            <c:trendlineType val="poly"/>
            <c:order val="2"/>
            <c:dispRSqr val="1"/>
            <c:dispEq val="1"/>
            <c:trendlineLbl>
              <c:layout>
                <c:manualLayout>
                  <c:x val="0.5154958442694666"/>
                  <c:y val="-0.30450094779819187"/>
                </c:manualLayout>
              </c:layout>
              <c:numFmt formatCode="General" sourceLinked="0"/>
              <c:txPr>
                <a:bodyPr/>
                <a:lstStyle/>
                <a:p>
                  <a:pPr>
                    <a:defRPr lang="en-GB"/>
                  </a:pPr>
                  <a:endParaRPr lang="en-US"/>
                </a:p>
              </c:txPr>
            </c:trendlineLbl>
          </c:trendline>
          <c:yVal>
            <c:numRef>
              <c:f>'[Chart in Microsoft Office Word]Sheet1'!$D$2:$D$7</c:f>
              <c:numCache>
                <c:formatCode>General</c:formatCode>
                <c:ptCount val="6"/>
                <c:pt idx="0">
                  <c:v>2.1030000000000002</c:v>
                </c:pt>
                <c:pt idx="1">
                  <c:v>1.9219999999999819</c:v>
                </c:pt>
                <c:pt idx="2">
                  <c:v>1.619</c:v>
                </c:pt>
                <c:pt idx="3">
                  <c:v>1.282</c:v>
                </c:pt>
                <c:pt idx="4">
                  <c:v>0.82000000000000062</c:v>
                </c:pt>
                <c:pt idx="5">
                  <c:v>0.56200000000000061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2DED-4246-B84F-C4235C32E0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04071928"/>
        <c:axId val="304073888"/>
      </c:scatterChart>
      <c:valAx>
        <c:axId val="304071928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lang="en-GB"/>
            </a:pPr>
            <a:endParaRPr lang="en-US"/>
          </a:p>
        </c:txPr>
        <c:crossAx val="304073888"/>
        <c:crosses val="autoZero"/>
        <c:crossBetween val="midCat"/>
      </c:valAx>
      <c:valAx>
        <c:axId val="30407388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GB"/>
            </a:pPr>
            <a:endParaRPr lang="en-US"/>
          </a:p>
        </c:txPr>
        <c:crossAx val="304071928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69058202099736932"/>
          <c:y val="0.48798410615339782"/>
          <c:w val="0.30941797900263168"/>
          <c:h val="0.16743438320210283"/>
        </c:manualLayout>
      </c:layout>
      <c:overlay val="0"/>
      <c:txPr>
        <a:bodyPr/>
        <a:lstStyle/>
        <a:p>
          <a:pPr>
            <a:defRPr lang="en-GB"/>
          </a:pPr>
          <a:endParaRPr lang="en-US"/>
        </a:p>
      </c:txPr>
    </c:legend>
    <c:plotVisOnly val="1"/>
    <c:dispBlanksAs val="gap"/>
    <c:showDLblsOverMax val="0"/>
  </c:chart>
  <c:spPr>
    <a:solidFill>
      <a:schemeClr val="accent3">
        <a:lumMod val="20000"/>
        <a:lumOff val="80000"/>
      </a:schemeClr>
    </a:solidFill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Xikprof</dc:creator>
  <cp:keywords/>
  <dc:description/>
  <cp:lastModifiedBy>Xikprof</cp:lastModifiedBy>
  <cp:revision>96</cp:revision>
  <dcterms:created xsi:type="dcterms:W3CDTF">2018-01-21T21:51:00Z</dcterms:created>
  <dcterms:modified xsi:type="dcterms:W3CDTF">2018-06-06T11:16:00Z</dcterms:modified>
</cp:coreProperties>
</file>