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0CF5" w:rsidRPr="00CA0CF5" w:rsidRDefault="00CA0CF5" w:rsidP="00CA0CF5">
      <w:pPr>
        <w:jc w:val="center"/>
        <w:rPr>
          <w:rFonts w:ascii="Times New Roman" w:eastAsia="Times New Roman" w:hAnsi="Times New Roman" w:cs="Times New Roman"/>
          <w:b/>
          <w:color w:val="000000"/>
          <w:sz w:val="30"/>
          <w:szCs w:val="30"/>
        </w:rPr>
      </w:pPr>
      <w:r w:rsidRPr="00CA0CF5">
        <w:rPr>
          <w:rFonts w:ascii="Times New Roman" w:eastAsia="Times New Roman" w:hAnsi="Times New Roman" w:cs="Times New Roman"/>
          <w:b/>
          <w:color w:val="1F497D" w:themeColor="text2"/>
          <w:sz w:val="30"/>
          <w:szCs w:val="30"/>
        </w:rPr>
        <w:t xml:space="preserve">Floating Polymeric Microspheres for the </w:t>
      </w:r>
      <w:r w:rsidR="00AC1AC7" w:rsidRPr="00CA0CF5">
        <w:rPr>
          <w:rFonts w:ascii="Times New Roman" w:eastAsia="Times New Roman" w:hAnsi="Times New Roman" w:cs="Times New Roman"/>
          <w:b/>
          <w:color w:val="1F497D" w:themeColor="text2"/>
          <w:sz w:val="30"/>
          <w:szCs w:val="30"/>
        </w:rPr>
        <w:t xml:space="preserve">Delivery </w:t>
      </w:r>
      <w:r w:rsidR="00AC1AC7">
        <w:rPr>
          <w:rFonts w:ascii="Times New Roman" w:eastAsia="Times New Roman" w:hAnsi="Times New Roman" w:cs="Times New Roman"/>
          <w:b/>
          <w:color w:val="1F497D" w:themeColor="text2"/>
          <w:sz w:val="30"/>
          <w:szCs w:val="30"/>
        </w:rPr>
        <w:t>o</w:t>
      </w:r>
      <w:r w:rsidR="00AC1AC7" w:rsidRPr="00CA0CF5">
        <w:rPr>
          <w:rFonts w:ascii="Times New Roman" w:eastAsia="Times New Roman" w:hAnsi="Times New Roman" w:cs="Times New Roman"/>
          <w:b/>
          <w:color w:val="1F497D" w:themeColor="text2"/>
          <w:sz w:val="30"/>
          <w:szCs w:val="30"/>
        </w:rPr>
        <w:t xml:space="preserve">f </w:t>
      </w:r>
      <w:proofErr w:type="spellStart"/>
      <w:r w:rsidR="00AC1AC7" w:rsidRPr="00CA0CF5">
        <w:rPr>
          <w:rFonts w:ascii="Times New Roman" w:eastAsia="Times New Roman" w:hAnsi="Times New Roman" w:cs="Times New Roman"/>
          <w:b/>
          <w:color w:val="1F497D" w:themeColor="text2"/>
          <w:sz w:val="30"/>
          <w:szCs w:val="30"/>
        </w:rPr>
        <w:t>Artemether</w:t>
      </w:r>
      <w:proofErr w:type="spellEnd"/>
      <w:r w:rsidR="00AC1AC7" w:rsidRPr="00CA0CF5">
        <w:rPr>
          <w:rFonts w:ascii="Times New Roman" w:eastAsia="Times New Roman" w:hAnsi="Times New Roman" w:cs="Times New Roman"/>
          <w:b/>
          <w:color w:val="1F497D" w:themeColor="text2"/>
          <w:sz w:val="30"/>
          <w:szCs w:val="30"/>
        </w:rPr>
        <w:t xml:space="preserve"> / Lumefantrine </w:t>
      </w:r>
    </w:p>
    <w:p w:rsidR="00CA0CF5" w:rsidRPr="00D4759E" w:rsidRDefault="00CA0CF5" w:rsidP="00CA0CF5">
      <w:pPr>
        <w:pStyle w:val="Heading2"/>
        <w:jc w:val="center"/>
        <w:rPr>
          <w:rFonts w:ascii="Times New Roman" w:hAnsi="Times New Roman" w:cs="Times New Roman"/>
          <w:b/>
          <w:color w:val="000000"/>
        </w:rPr>
      </w:pPr>
    </w:p>
    <w:p w:rsidR="00AE3E37" w:rsidRPr="00CA0CF5" w:rsidRDefault="00CA0CF5">
      <w:pPr>
        <w:pStyle w:val="BodyText"/>
        <w:rPr>
          <w:rFonts w:ascii="Arial"/>
          <w:sz w:val="20"/>
          <w:szCs w:val="20"/>
        </w:rPr>
      </w:pPr>
      <w:r w:rsidRPr="00CA0CF5">
        <w:rPr>
          <w:rFonts w:ascii="Times New Roman" w:hAnsi="Times New Roman" w:cs="Times New Roman"/>
          <w:color w:val="000000"/>
          <w:sz w:val="20"/>
          <w:szCs w:val="20"/>
        </w:rPr>
        <w:t>Oluwatoyin A Odeku</w:t>
      </w:r>
      <w:r w:rsidRPr="00CA0CF5">
        <w:rPr>
          <w:rFonts w:ascii="Times New Roman" w:hAnsi="Times New Roman" w:cs="Times New Roman"/>
          <w:color w:val="000000"/>
          <w:sz w:val="20"/>
          <w:szCs w:val="20"/>
        </w:rPr>
        <w:t xml:space="preserve">, </w:t>
      </w:r>
      <w:r w:rsidRPr="00CA0CF5">
        <w:rPr>
          <w:rFonts w:ascii="Times New Roman" w:hAnsi="Times New Roman" w:cs="Times New Roman"/>
          <w:color w:val="000000"/>
          <w:sz w:val="20"/>
          <w:szCs w:val="20"/>
        </w:rPr>
        <w:t>Department of Pharmaceutics &amp; Industrial Pharmacy, Faculty of Pharmacy, University of Ibadan, Ibadan, Nigeria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CA0CF5" w:rsidRPr="00A63FC5" w:rsidRDefault="00CA0CF5" w:rsidP="00CA0CF5">
      <w:pPr>
        <w:autoSpaceDE w:val="0"/>
        <w:autoSpaceDN w:val="0"/>
        <w:adjustRightInd w:val="0"/>
        <w:jc w:val="both"/>
        <w:rPr>
          <w:rFonts w:asciiTheme="minorHAnsi" w:hAnsiTheme="minorHAnsi" w:cs="Times New Roman"/>
          <w:iCs/>
          <w:color w:val="000000" w:themeColor="text1"/>
          <w:sz w:val="18"/>
          <w:szCs w:val="18"/>
          <w:lang w:val="en-GB"/>
        </w:rPr>
      </w:pPr>
      <w:r w:rsidRPr="00A63FC5">
        <w:rPr>
          <w:rFonts w:asciiTheme="minorHAnsi" w:hAnsiTheme="minorHAnsi" w:cs="Times New Roman"/>
          <w:color w:val="000000" w:themeColor="text1"/>
          <w:sz w:val="18"/>
          <w:szCs w:val="18"/>
        </w:rPr>
        <w:t>Statement of the Problem: Malaria,</w:t>
      </w:r>
      <w:r w:rsidRPr="00A63FC5">
        <w:rPr>
          <w:rFonts w:asciiTheme="minorHAnsi" w:eastAsiaTheme="minorHAnsi" w:hAnsiTheme="minorHAnsi" w:cs="Times New Roman"/>
          <w:color w:val="000000" w:themeColor="text1"/>
          <w:sz w:val="18"/>
          <w:szCs w:val="18"/>
          <w:lang w:val="en-GB"/>
        </w:rPr>
        <w:t xml:space="preserve"> an infectious disease caused by the Plasmodium genus,</w:t>
      </w:r>
      <w:r w:rsidRPr="00A63FC5">
        <w:rPr>
          <w:rFonts w:asciiTheme="minorHAnsi" w:hAnsiTheme="minorHAnsi" w:cs="Times New Roman"/>
          <w:color w:val="000000" w:themeColor="text1"/>
          <w:sz w:val="18"/>
          <w:szCs w:val="18"/>
        </w:rPr>
        <w:t xml:space="preserve"> continues to be one of the highest causes of morbidity and mortality in the developing world. Malaria affects 3.3 billion people in the world and is the cause of death of a</w:t>
      </w:r>
      <w:r w:rsidRPr="00A63FC5">
        <w:rPr>
          <w:rFonts w:asciiTheme="minorHAnsi" w:hAnsiTheme="minorHAnsi" w:cs="Times New Roman"/>
          <w:color w:val="000000" w:themeColor="text1"/>
          <w:sz w:val="18"/>
          <w:szCs w:val="18"/>
          <w:shd w:val="clear" w:color="auto" w:fill="FFFFFF"/>
        </w:rPr>
        <w:t xml:space="preserve">pproximately 438,000 deaths in 2015, particularly in sub-Saharan Africa, where </w:t>
      </w:r>
      <w:r w:rsidR="00AC1AC7">
        <w:rPr>
          <w:rFonts w:asciiTheme="minorHAnsi" w:hAnsiTheme="minorHAnsi" w:cs="Times New Roman"/>
          <w:color w:val="000000" w:themeColor="text1"/>
          <w:sz w:val="18"/>
          <w:szCs w:val="18"/>
          <w:shd w:val="clear" w:color="auto" w:fill="FFFFFF"/>
        </w:rPr>
        <w:t xml:space="preserve">approximately </w:t>
      </w:r>
      <w:r w:rsidRPr="00A63FC5">
        <w:rPr>
          <w:rFonts w:asciiTheme="minorHAnsi" w:hAnsiTheme="minorHAnsi" w:cs="Times New Roman"/>
          <w:color w:val="000000" w:themeColor="text1"/>
          <w:sz w:val="18"/>
          <w:szCs w:val="18"/>
          <w:shd w:val="clear" w:color="auto" w:fill="FFFFFF"/>
        </w:rPr>
        <w:t xml:space="preserve">90 % of deaths occur. </w:t>
      </w:r>
      <w:r w:rsidRPr="00A63FC5">
        <w:rPr>
          <w:rFonts w:asciiTheme="minorHAnsi" w:hAnsiTheme="minorHAnsi" w:cs="Times New Roman"/>
          <w:color w:val="000000" w:themeColor="text1"/>
          <w:sz w:val="18"/>
          <w:szCs w:val="18"/>
        </w:rPr>
        <w:t>Although many drugs are commercially available for use in malaria infection, the al</w:t>
      </w:r>
      <w:r w:rsidRPr="00A63FC5">
        <w:rPr>
          <w:rFonts w:asciiTheme="minorHAnsi" w:hAnsiTheme="minorHAnsi"/>
          <w:color w:val="000000" w:themeColor="text1"/>
          <w:sz w:val="18"/>
          <w:szCs w:val="18"/>
        </w:rPr>
        <w:t>arming emergence of multidrug-</w:t>
      </w:r>
      <w:r w:rsidRPr="00A63FC5">
        <w:rPr>
          <w:rFonts w:asciiTheme="minorHAnsi" w:hAnsiTheme="minorHAnsi" w:cs="Times New Roman"/>
          <w:color w:val="000000" w:themeColor="text1"/>
          <w:sz w:val="18"/>
          <w:szCs w:val="18"/>
        </w:rPr>
        <w:t xml:space="preserve">resistant strains of </w:t>
      </w:r>
      <w:r w:rsidRPr="00A63FC5">
        <w:rPr>
          <w:rFonts w:asciiTheme="minorHAnsi" w:hAnsiTheme="minorHAnsi" w:cs="Times New Roman"/>
          <w:i/>
          <w:color w:val="000000" w:themeColor="text1"/>
          <w:sz w:val="18"/>
          <w:szCs w:val="18"/>
        </w:rPr>
        <w:t>Plasmodium falciparum</w:t>
      </w:r>
      <w:r w:rsidRPr="00A63FC5">
        <w:rPr>
          <w:rFonts w:asciiTheme="minorHAnsi" w:hAnsiTheme="minorHAnsi" w:cs="Times New Roman"/>
          <w:color w:val="000000" w:themeColor="text1"/>
          <w:sz w:val="18"/>
          <w:szCs w:val="18"/>
        </w:rPr>
        <w:t xml:space="preserve"> have raised an urgent need for new drugs or more efficient delivery system</w:t>
      </w:r>
      <w:r w:rsidR="00AC1AC7">
        <w:rPr>
          <w:rFonts w:asciiTheme="minorHAnsi" w:hAnsiTheme="minorHAnsi" w:cs="Times New Roman"/>
          <w:color w:val="000000" w:themeColor="text1"/>
          <w:sz w:val="18"/>
          <w:szCs w:val="18"/>
        </w:rPr>
        <w:t>s</w:t>
      </w:r>
      <w:r w:rsidRPr="00A63FC5">
        <w:rPr>
          <w:rFonts w:asciiTheme="minorHAnsi" w:hAnsiTheme="minorHAnsi" w:cs="Times New Roman"/>
          <w:color w:val="000000" w:themeColor="text1"/>
          <w:sz w:val="18"/>
          <w:szCs w:val="18"/>
        </w:rPr>
        <w:t>.</w:t>
      </w:r>
      <w:r w:rsidRPr="00A63FC5">
        <w:rPr>
          <w:rFonts w:asciiTheme="minorHAnsi" w:hAnsiTheme="minorHAnsi" w:cs="Times New Roman"/>
          <w:color w:val="000000" w:themeColor="text1"/>
          <w:sz w:val="18"/>
          <w:szCs w:val="18"/>
          <w:shd w:val="clear" w:color="auto" w:fill="FFFFFF"/>
        </w:rPr>
        <w:t xml:space="preserve"> The World Health Organization (WHO) recommends the use of artemisinin-based combination therapy (ACT) for uncomplicated </w:t>
      </w:r>
      <w:r w:rsidRPr="00A63FC5">
        <w:rPr>
          <w:rStyle w:val="Emphasis"/>
          <w:rFonts w:asciiTheme="minorHAnsi" w:hAnsiTheme="minorHAnsi"/>
          <w:color w:val="000000" w:themeColor="text1"/>
          <w:sz w:val="18"/>
          <w:szCs w:val="18"/>
          <w:bdr w:val="none" w:sz="0" w:space="0" w:color="auto" w:frame="1"/>
          <w:shd w:val="clear" w:color="auto" w:fill="FFFFFF"/>
        </w:rPr>
        <w:t>P.</w:t>
      </w:r>
      <w:r w:rsidRPr="00A63FC5">
        <w:rPr>
          <w:rStyle w:val="Emphasis"/>
          <w:rFonts w:asciiTheme="minorHAnsi" w:hAnsiTheme="minorHAnsi" w:cs="Times New Roman"/>
          <w:color w:val="000000" w:themeColor="text1"/>
          <w:sz w:val="18"/>
          <w:szCs w:val="18"/>
          <w:bdr w:val="none" w:sz="0" w:space="0" w:color="auto" w:frame="1"/>
          <w:shd w:val="clear" w:color="auto" w:fill="FFFFFF"/>
        </w:rPr>
        <w:t xml:space="preserve"> falciparum </w:t>
      </w:r>
      <w:r w:rsidRPr="00A63FC5">
        <w:rPr>
          <w:rFonts w:asciiTheme="minorHAnsi" w:hAnsiTheme="minorHAnsi" w:cs="Times New Roman"/>
          <w:color w:val="000000" w:themeColor="text1"/>
          <w:sz w:val="18"/>
          <w:szCs w:val="18"/>
          <w:shd w:val="clear" w:color="auto" w:fill="FFFFFF"/>
        </w:rPr>
        <w:t>malaria. Artemether-lumefantrine was the first co-formulated ACT but the complex dose regimen has compromised adherence, and</w:t>
      </w:r>
      <w:r w:rsidRPr="00A63FC5">
        <w:rPr>
          <w:rFonts w:asciiTheme="minorHAnsi" w:hAnsiTheme="minorHAnsi" w:cs="Times New Roman"/>
          <w:color w:val="000000" w:themeColor="text1"/>
          <w:sz w:val="18"/>
          <w:szCs w:val="18"/>
        </w:rPr>
        <w:t xml:space="preserve"> about 60-70% of the drug molecules are absorbed due to poor solubility an</w:t>
      </w:r>
      <w:r w:rsidR="00AC1AC7">
        <w:rPr>
          <w:rFonts w:asciiTheme="minorHAnsi" w:hAnsiTheme="minorHAnsi" w:cs="Times New Roman"/>
          <w:color w:val="000000" w:themeColor="text1"/>
          <w:sz w:val="18"/>
          <w:szCs w:val="18"/>
        </w:rPr>
        <w:t xml:space="preserve">d low permeability </w:t>
      </w:r>
      <w:r w:rsidRPr="00A63FC5">
        <w:rPr>
          <w:rFonts w:asciiTheme="minorHAnsi" w:hAnsiTheme="minorHAnsi" w:cs="Times New Roman"/>
          <w:color w:val="000000" w:themeColor="text1"/>
          <w:sz w:val="18"/>
          <w:szCs w:val="18"/>
        </w:rPr>
        <w:t>following oral administration.</w:t>
      </w:r>
      <w:r w:rsidRPr="00A63FC5">
        <w:rPr>
          <w:rFonts w:asciiTheme="minorHAnsi" w:eastAsiaTheme="minorHAnsi" w:hAnsiTheme="minorHAnsi" w:cs="Times New Roman"/>
          <w:color w:val="000000" w:themeColor="text1"/>
          <w:sz w:val="18"/>
          <w:szCs w:val="18"/>
          <w:lang w:val="en-GB"/>
        </w:rPr>
        <w:t xml:space="preserve"> </w:t>
      </w:r>
      <w:r w:rsidRPr="00A63FC5">
        <w:rPr>
          <w:rFonts w:asciiTheme="minorHAnsi" w:hAnsiTheme="minorHAnsi" w:cs="Times New Roman"/>
          <w:color w:val="000000" w:themeColor="text1"/>
          <w:sz w:val="18"/>
          <w:szCs w:val="18"/>
        </w:rPr>
        <w:t>The purpose of this study is develop floating gastroretentive microsphere</w:t>
      </w:r>
      <w:r w:rsidRPr="00A63FC5">
        <w:rPr>
          <w:rFonts w:asciiTheme="minorHAnsi" w:hAnsiTheme="minorHAnsi"/>
          <w:color w:val="000000" w:themeColor="text1"/>
          <w:sz w:val="18"/>
          <w:szCs w:val="18"/>
        </w:rPr>
        <w:t>s</w:t>
      </w:r>
      <w:r w:rsidRPr="00A63FC5">
        <w:rPr>
          <w:rFonts w:asciiTheme="minorHAnsi" w:hAnsiTheme="minorHAnsi" w:cs="Times New Roman"/>
          <w:color w:val="000000" w:themeColor="text1"/>
          <w:sz w:val="18"/>
          <w:szCs w:val="18"/>
        </w:rPr>
        <w:t xml:space="preserve"> for the improved delivery of arthemether/lumefantrine using different polymers to prolong the gastric residence time and improve drug absorption after oral administration. Methodology &amp; Theoretical Orientation: Arthemether/</w:t>
      </w:r>
      <w:r w:rsidRPr="00A63FC5">
        <w:rPr>
          <w:rFonts w:asciiTheme="minorHAnsi" w:hAnsiTheme="minorHAnsi"/>
          <w:color w:val="000000" w:themeColor="text1"/>
          <w:sz w:val="18"/>
          <w:szCs w:val="18"/>
        </w:rPr>
        <w:t>lumefantrine</w:t>
      </w:r>
      <w:r w:rsidRPr="00A63FC5">
        <w:rPr>
          <w:rFonts w:asciiTheme="minorHAnsi" w:hAnsiTheme="minorHAnsi" w:cs="Times New Roman"/>
          <w:color w:val="000000" w:themeColor="text1"/>
          <w:sz w:val="18"/>
          <w:szCs w:val="18"/>
        </w:rPr>
        <w:t xml:space="preserve"> microspheres were prepared by ionic gelation method using different grades of sodium alginate and carrageenan, and their combinations as polymers, </w:t>
      </w:r>
      <w:r w:rsidRPr="00A63FC5">
        <w:rPr>
          <w:rFonts w:asciiTheme="minorHAnsi" w:hAnsiTheme="minorHAnsi"/>
          <w:color w:val="000000" w:themeColor="text1"/>
          <w:sz w:val="18"/>
          <w:szCs w:val="18"/>
        </w:rPr>
        <w:t>calcium chloride (2%</w:t>
      </w:r>
      <w:r w:rsidRPr="00A63FC5">
        <w:rPr>
          <w:rFonts w:asciiTheme="minorHAnsi" w:hAnsiTheme="minorHAnsi" w:cs="Times New Roman"/>
          <w:color w:val="000000" w:themeColor="text1"/>
          <w:sz w:val="18"/>
          <w:szCs w:val="18"/>
        </w:rPr>
        <w:t xml:space="preserve">w/v) as chelating agent and sodium bicarbonate </w:t>
      </w:r>
      <w:r w:rsidRPr="00A63FC5">
        <w:rPr>
          <w:rFonts w:asciiTheme="minorHAnsi" w:hAnsiTheme="minorHAnsi"/>
          <w:color w:val="000000" w:themeColor="text1"/>
          <w:sz w:val="18"/>
          <w:szCs w:val="18"/>
        </w:rPr>
        <w:t>(2</w:t>
      </w:r>
      <w:r w:rsidRPr="00A63FC5">
        <w:rPr>
          <w:rFonts w:asciiTheme="minorHAnsi" w:hAnsiTheme="minorHAnsi" w:cs="Times New Roman"/>
          <w:color w:val="000000" w:themeColor="text1"/>
          <w:sz w:val="18"/>
          <w:szCs w:val="18"/>
        </w:rPr>
        <w:t xml:space="preserve">%w/w) as gas releasing agent to impart buoyancy. Findings: Spherical discrete microspheres with size ranging from 0.84 to 1.74µm were obtained with floating lag time &lt; 5 min and drug entrapment efficiency (DEE) of 35 to 70 </w:t>
      </w:r>
      <w:r w:rsidRPr="00A63FC5">
        <w:rPr>
          <w:rFonts w:asciiTheme="minorHAnsi" w:hAnsiTheme="minorHAnsi"/>
          <w:color w:val="000000" w:themeColor="text1"/>
          <w:sz w:val="18"/>
          <w:szCs w:val="18"/>
        </w:rPr>
        <w:t>%</w:t>
      </w:r>
      <w:r w:rsidRPr="00A63FC5">
        <w:rPr>
          <w:rFonts w:asciiTheme="minorHAnsi" w:hAnsiTheme="minorHAnsi" w:cs="Times New Roman"/>
          <w:color w:val="000000" w:themeColor="text1"/>
          <w:sz w:val="18"/>
          <w:szCs w:val="18"/>
        </w:rPr>
        <w:t>w/w. The size, DEE, swelling, buoyancy and drug release from the microsphere depended on polymer</w:t>
      </w:r>
      <w:r w:rsidRPr="00A63FC5">
        <w:rPr>
          <w:rFonts w:asciiTheme="minorHAnsi" w:hAnsiTheme="minorHAnsi" w:cs="Times New Roman"/>
          <w:color w:val="000000" w:themeColor="text1"/>
          <w:sz w:val="18"/>
          <w:szCs w:val="18"/>
        </w:rPr>
        <w:t xml:space="preserve"> </w:t>
      </w:r>
      <w:r w:rsidRPr="00A63FC5">
        <w:rPr>
          <w:rFonts w:asciiTheme="minorHAnsi" w:hAnsiTheme="minorHAnsi" w:cs="Times New Roman"/>
          <w:color w:val="000000" w:themeColor="text1"/>
          <w:sz w:val="18"/>
          <w:szCs w:val="18"/>
        </w:rPr>
        <w:t>type</w:t>
      </w:r>
      <w:r w:rsidRPr="00A63FC5" w:rsidDel="00CC3A7D">
        <w:rPr>
          <w:rFonts w:asciiTheme="minorHAnsi" w:hAnsiTheme="minorHAnsi" w:cs="Times New Roman"/>
          <w:color w:val="000000" w:themeColor="text1"/>
          <w:sz w:val="18"/>
          <w:szCs w:val="18"/>
        </w:rPr>
        <w:t xml:space="preserve"> </w:t>
      </w:r>
      <w:r w:rsidRPr="00A63FC5">
        <w:rPr>
          <w:rFonts w:asciiTheme="minorHAnsi" w:hAnsiTheme="minorHAnsi" w:cs="Times New Roman"/>
          <w:color w:val="000000" w:themeColor="text1"/>
          <w:sz w:val="18"/>
          <w:szCs w:val="18"/>
        </w:rPr>
        <w:t>and</w:t>
      </w:r>
      <w:r w:rsidRPr="00A63FC5" w:rsidDel="00CC3A7D">
        <w:rPr>
          <w:rFonts w:asciiTheme="minorHAnsi" w:hAnsiTheme="minorHAnsi" w:cs="Times New Roman"/>
          <w:color w:val="000000" w:themeColor="text1"/>
          <w:sz w:val="18"/>
          <w:szCs w:val="18"/>
        </w:rPr>
        <w:t xml:space="preserve"> </w:t>
      </w:r>
      <w:r w:rsidRPr="00A63FC5">
        <w:rPr>
          <w:rFonts w:asciiTheme="minorHAnsi" w:hAnsiTheme="minorHAnsi" w:cs="Times New Roman"/>
          <w:color w:val="000000" w:themeColor="text1"/>
          <w:sz w:val="18"/>
          <w:szCs w:val="18"/>
        </w:rPr>
        <w:t>viscosity. Conclusion &amp; Significance: F</w:t>
      </w:r>
      <w:r w:rsidRPr="00A63FC5">
        <w:rPr>
          <w:rFonts w:asciiTheme="minorHAnsi" w:hAnsiTheme="minorHAnsi" w:cs="Times New Roman"/>
          <w:iCs/>
          <w:color w:val="000000" w:themeColor="text1"/>
          <w:sz w:val="18"/>
          <w:szCs w:val="18"/>
          <w:lang w:val="en-GB"/>
        </w:rPr>
        <w:t xml:space="preserve">ormulation of floating gastroretentive microspheres could provide a more efficient delivery system for </w:t>
      </w:r>
      <w:r w:rsidRPr="00A63FC5">
        <w:rPr>
          <w:rFonts w:asciiTheme="minorHAnsi" w:hAnsiTheme="minorHAnsi" w:cs="Times New Roman"/>
          <w:color w:val="000000" w:themeColor="text1"/>
          <w:sz w:val="18"/>
          <w:szCs w:val="18"/>
        </w:rPr>
        <w:t xml:space="preserve">arthemether/lumefantrine </w:t>
      </w:r>
      <w:r w:rsidRPr="00A63FC5">
        <w:rPr>
          <w:rFonts w:asciiTheme="minorHAnsi" w:hAnsiTheme="minorHAnsi" w:cs="Times New Roman"/>
          <w:iCs/>
          <w:color w:val="000000" w:themeColor="text1"/>
          <w:sz w:val="18"/>
          <w:szCs w:val="18"/>
          <w:lang w:val="en-GB"/>
        </w:rPr>
        <w:t xml:space="preserve">the </w:t>
      </w:r>
      <w:r w:rsidRPr="00A63FC5">
        <w:rPr>
          <w:rFonts w:asciiTheme="minorHAnsi" w:hAnsiTheme="minorHAnsi"/>
          <w:iCs/>
          <w:color w:val="000000" w:themeColor="text1"/>
          <w:sz w:val="18"/>
          <w:szCs w:val="18"/>
          <w:lang w:val="en-GB"/>
        </w:rPr>
        <w:t>treatment</w:t>
      </w:r>
      <w:r w:rsidRPr="00A63FC5">
        <w:rPr>
          <w:rFonts w:asciiTheme="minorHAnsi" w:hAnsiTheme="minorHAnsi" w:cs="Times New Roman"/>
          <w:iCs/>
          <w:color w:val="000000" w:themeColor="text1"/>
          <w:sz w:val="18"/>
          <w:szCs w:val="18"/>
          <w:lang w:val="en-GB"/>
        </w:rPr>
        <w:t xml:space="preserve"> of malaria.</w:t>
      </w:r>
    </w:p>
    <w:p w:rsidR="00AE3E37" w:rsidRDefault="00A9710C">
      <w:pPr>
        <w:pStyle w:val="Heading3"/>
        <w:spacing w:before="74"/>
        <w:rPr>
          <w:color w:val="BF5A14"/>
        </w:rPr>
      </w:pPr>
      <w:r w:rsidRPr="00A63FC5">
        <w:rPr>
          <w:rFonts w:asciiTheme="minorHAnsi" w:hAnsiTheme="minorHAnsi"/>
          <w:b w:val="0"/>
        </w:rPr>
        <w:br w:type="column"/>
      </w:r>
      <w:r>
        <w:rPr>
          <w:color w:val="BF5A14"/>
        </w:rPr>
        <w:t>Image</w:t>
      </w:r>
    </w:p>
    <w:p w:rsidR="00C74B11" w:rsidRDefault="00C74B11">
      <w:pPr>
        <w:pStyle w:val="Heading3"/>
        <w:spacing w:before="74"/>
      </w:pPr>
    </w:p>
    <w:p w:rsidR="00AE3E37" w:rsidRDefault="00C74B11">
      <w:pPr>
        <w:pStyle w:val="BodyText"/>
        <w:spacing w:before="2"/>
        <w:rPr>
          <w:rFonts w:ascii="Arial"/>
          <w:b/>
          <w:sz w:val="16"/>
        </w:rPr>
      </w:pPr>
      <w:r>
        <w:rPr>
          <w:rFonts w:ascii="Arial"/>
          <w:b/>
          <w:noProof/>
          <w:sz w:val="16"/>
          <w:lang w:val="en-GB" w:eastAsia="en-GB"/>
        </w:rPr>
        <w:drawing>
          <wp:inline distT="0" distB="0" distL="0" distR="0">
            <wp:extent cx="3162300" cy="18573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2300" cy="1857375"/>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CA0CF5" w:rsidRPr="00AC1AC7" w:rsidRDefault="00CA0CF5" w:rsidP="007B3BA7">
      <w:pPr>
        <w:pStyle w:val="ListParagraph"/>
        <w:widowControl/>
        <w:numPr>
          <w:ilvl w:val="0"/>
          <w:numId w:val="4"/>
        </w:numPr>
        <w:shd w:val="clear" w:color="auto" w:fill="FFFFFF"/>
        <w:spacing w:before="0" w:line="240" w:lineRule="auto"/>
        <w:contextualSpacing/>
        <w:jc w:val="left"/>
        <w:textAlignment w:val="baseline"/>
        <w:rPr>
          <w:rFonts w:asciiTheme="minorHAnsi" w:hAnsiTheme="minorHAnsi"/>
          <w:sz w:val="18"/>
          <w:szCs w:val="18"/>
          <w:shd w:val="clear" w:color="auto" w:fill="FFFFFF"/>
        </w:rPr>
      </w:pPr>
      <w:r w:rsidRPr="00AC1AC7">
        <w:rPr>
          <w:rFonts w:asciiTheme="minorHAnsi" w:hAnsiTheme="minorHAnsi"/>
          <w:sz w:val="18"/>
          <w:szCs w:val="18"/>
          <w:shd w:val="clear" w:color="auto" w:fill="FFFFFF"/>
        </w:rPr>
        <w:t>WHO. World malaria report 2015. Geneva: World Health Organization; 2015.</w:t>
      </w:r>
    </w:p>
    <w:p w:rsidR="00CA0CF5" w:rsidRPr="00AC1AC7" w:rsidRDefault="00C74B11" w:rsidP="007B3BA7">
      <w:pPr>
        <w:pStyle w:val="ListParagraph"/>
        <w:widowControl/>
        <w:numPr>
          <w:ilvl w:val="0"/>
          <w:numId w:val="4"/>
        </w:numPr>
        <w:shd w:val="clear" w:color="auto" w:fill="FFFFFF"/>
        <w:spacing w:before="0" w:line="240" w:lineRule="auto"/>
        <w:contextualSpacing/>
        <w:jc w:val="left"/>
        <w:textAlignment w:val="baseline"/>
        <w:rPr>
          <w:rFonts w:asciiTheme="minorHAnsi" w:eastAsia="Times New Roman" w:hAnsiTheme="minorHAnsi"/>
          <w:sz w:val="18"/>
          <w:szCs w:val="18"/>
          <w:lang w:val="en-GB" w:eastAsia="en-GB"/>
        </w:rPr>
      </w:pPr>
      <w:r w:rsidRPr="00AC1AC7">
        <w:rPr>
          <w:rFonts w:asciiTheme="minorHAnsi" w:eastAsia="Times New Roman" w:hAnsiTheme="minorHAnsi"/>
          <w:sz w:val="18"/>
          <w:szCs w:val="18"/>
          <w:lang w:val="en-GB" w:eastAsia="en-GB"/>
        </w:rPr>
        <w:t>World Health Organization, WHO</w:t>
      </w:r>
      <w:r w:rsidR="00CA0CF5" w:rsidRPr="00AC1AC7">
        <w:rPr>
          <w:rFonts w:asciiTheme="minorHAnsi" w:eastAsia="Times New Roman" w:hAnsiTheme="minorHAnsi"/>
          <w:sz w:val="18"/>
          <w:szCs w:val="18"/>
          <w:lang w:val="en-GB" w:eastAsia="en-GB"/>
        </w:rPr>
        <w:t xml:space="preserve"> </w:t>
      </w:r>
      <w:r w:rsidRPr="00AC1AC7">
        <w:rPr>
          <w:rFonts w:asciiTheme="minorHAnsi" w:eastAsia="Times New Roman" w:hAnsiTheme="minorHAnsi"/>
          <w:sz w:val="18"/>
          <w:szCs w:val="18"/>
          <w:lang w:val="en-GB" w:eastAsia="en-GB"/>
        </w:rPr>
        <w:t>(</w:t>
      </w:r>
      <w:r w:rsidRPr="00AC1AC7">
        <w:rPr>
          <w:rFonts w:asciiTheme="minorHAnsi" w:eastAsia="Times New Roman" w:hAnsiTheme="minorHAnsi"/>
          <w:sz w:val="18"/>
          <w:szCs w:val="18"/>
          <w:lang w:val="en-GB" w:eastAsia="en-GB"/>
        </w:rPr>
        <w:t>2010</w:t>
      </w:r>
      <w:r w:rsidRPr="00AC1AC7">
        <w:rPr>
          <w:rFonts w:asciiTheme="minorHAnsi" w:eastAsia="Times New Roman" w:hAnsiTheme="minorHAnsi"/>
          <w:sz w:val="18"/>
          <w:szCs w:val="18"/>
          <w:lang w:val="en-GB" w:eastAsia="en-GB"/>
        </w:rPr>
        <w:t>)</w:t>
      </w:r>
      <w:r w:rsidRPr="00AC1AC7">
        <w:rPr>
          <w:rFonts w:asciiTheme="minorHAnsi" w:eastAsia="Times New Roman" w:hAnsiTheme="minorHAnsi"/>
          <w:sz w:val="18"/>
          <w:szCs w:val="18"/>
          <w:lang w:val="en-GB" w:eastAsia="en-GB"/>
        </w:rPr>
        <w:t xml:space="preserve"> </w:t>
      </w:r>
      <w:r w:rsidR="00CA0CF5" w:rsidRPr="00AC1AC7">
        <w:rPr>
          <w:rFonts w:asciiTheme="minorHAnsi" w:eastAsia="Times New Roman" w:hAnsiTheme="minorHAnsi"/>
          <w:i/>
          <w:iCs/>
          <w:sz w:val="18"/>
          <w:szCs w:val="18"/>
          <w:lang w:val="en-GB" w:eastAsia="en-GB"/>
        </w:rPr>
        <w:t>Guidelines for the treatment of malaria</w:t>
      </w:r>
      <w:r w:rsidR="00CA0CF5" w:rsidRPr="00AC1AC7">
        <w:rPr>
          <w:rFonts w:asciiTheme="minorHAnsi" w:eastAsia="Times New Roman" w:hAnsiTheme="minorHAnsi"/>
          <w:sz w:val="18"/>
          <w:szCs w:val="18"/>
          <w:lang w:val="en-GB" w:eastAsia="en-GB"/>
        </w:rPr>
        <w:t>, </w:t>
      </w:r>
      <w:r w:rsidR="00CA0CF5" w:rsidRPr="00AC1AC7">
        <w:rPr>
          <w:rFonts w:asciiTheme="minorHAnsi" w:eastAsia="Times New Roman" w:hAnsiTheme="minorHAnsi"/>
          <w:sz w:val="18"/>
          <w:szCs w:val="18"/>
          <w:lang w:val="en-GB" w:eastAsia="en-GB"/>
        </w:rPr>
        <w:t>2</w:t>
      </w:r>
      <w:r w:rsidR="00CA0CF5" w:rsidRPr="00AC1AC7">
        <w:rPr>
          <w:rFonts w:asciiTheme="minorHAnsi" w:eastAsia="Times New Roman" w:hAnsiTheme="minorHAnsi"/>
          <w:sz w:val="18"/>
          <w:szCs w:val="18"/>
          <w:lang w:val="en-GB" w:eastAsia="en-GB"/>
        </w:rPr>
        <w:t xml:space="preserve">nd </w:t>
      </w:r>
      <w:proofErr w:type="spellStart"/>
      <w:proofErr w:type="gramStart"/>
      <w:r w:rsidR="00CA0CF5" w:rsidRPr="00AC1AC7">
        <w:rPr>
          <w:rFonts w:asciiTheme="minorHAnsi" w:eastAsia="Times New Roman" w:hAnsiTheme="minorHAnsi"/>
          <w:sz w:val="18"/>
          <w:szCs w:val="18"/>
          <w:lang w:val="en-GB" w:eastAsia="en-GB"/>
        </w:rPr>
        <w:t>ed</w:t>
      </w:r>
      <w:proofErr w:type="spellEnd"/>
      <w:proofErr w:type="gramEnd"/>
      <w:r w:rsidR="00CA0CF5" w:rsidRPr="00AC1AC7">
        <w:rPr>
          <w:rFonts w:asciiTheme="minorHAnsi" w:eastAsia="Times New Roman" w:hAnsiTheme="minorHAnsi"/>
          <w:sz w:val="18"/>
          <w:szCs w:val="18"/>
          <w:lang w:val="en-GB" w:eastAsia="en-GB"/>
        </w:rPr>
        <w:t xml:space="preserve"> Geneva, Switzerland WHO. </w:t>
      </w:r>
      <w:r w:rsidR="00CA0CF5" w:rsidRPr="00AC1AC7">
        <w:rPr>
          <w:rFonts w:asciiTheme="minorHAnsi" w:eastAsia="Times New Roman" w:hAnsiTheme="minorHAnsi"/>
          <w:sz w:val="18"/>
          <w:szCs w:val="18"/>
          <w:lang w:val="en-GB" w:eastAsia="en-GB"/>
        </w:rPr>
        <w:t>Available:</w:t>
      </w:r>
      <w:r w:rsidR="00CA0CF5" w:rsidRPr="00AC1AC7">
        <w:rPr>
          <w:rFonts w:asciiTheme="minorHAnsi" w:eastAsia="Times New Roman" w:hAnsiTheme="minorHAnsi"/>
          <w:sz w:val="18"/>
          <w:szCs w:val="18"/>
          <w:lang w:val="en-GB" w:eastAsia="en-GB"/>
        </w:rPr>
        <w:t> </w:t>
      </w:r>
      <w:hyperlink r:id="rId10" w:tgtFrame="" w:history="1">
        <w:r w:rsidR="00CA0CF5" w:rsidRPr="00AC1AC7">
          <w:rPr>
            <w:rFonts w:asciiTheme="minorHAnsi" w:eastAsia="Times New Roman" w:hAnsiTheme="minorHAnsi"/>
            <w:sz w:val="18"/>
            <w:szCs w:val="18"/>
            <w:bdr w:val="none" w:sz="0" w:space="0" w:color="auto" w:frame="1"/>
            <w:lang w:val="en-GB" w:eastAsia="en-GB"/>
          </w:rPr>
          <w:t>http://www.whqlibdoc.who.int/publications/2010/9789241547925_eng.pdf</w:t>
        </w:r>
      </w:hyperlink>
      <w:r w:rsidR="00CA0CF5" w:rsidRPr="00AC1AC7">
        <w:rPr>
          <w:rFonts w:asciiTheme="minorHAnsi" w:eastAsia="Times New Roman" w:hAnsiTheme="minorHAnsi"/>
          <w:sz w:val="18"/>
          <w:szCs w:val="18"/>
          <w:lang w:val="en-GB" w:eastAsia="en-GB"/>
        </w:rPr>
        <w:t xml:space="preserve">. </w:t>
      </w:r>
    </w:p>
    <w:p w:rsidR="00CA0CF5" w:rsidRPr="00A63FC5" w:rsidRDefault="00CA0CF5" w:rsidP="007B3BA7">
      <w:pPr>
        <w:pStyle w:val="ListParagraph"/>
        <w:widowControl/>
        <w:numPr>
          <w:ilvl w:val="0"/>
          <w:numId w:val="4"/>
        </w:numPr>
        <w:shd w:val="clear" w:color="auto" w:fill="FFFFFF"/>
        <w:spacing w:before="0" w:line="240" w:lineRule="auto"/>
        <w:contextualSpacing/>
        <w:jc w:val="left"/>
        <w:textAlignment w:val="baseline"/>
        <w:rPr>
          <w:rFonts w:asciiTheme="minorHAnsi" w:eastAsia="Times New Roman" w:hAnsiTheme="minorHAnsi"/>
          <w:sz w:val="18"/>
          <w:szCs w:val="18"/>
          <w:lang w:val="en-GB" w:eastAsia="en-GB"/>
        </w:rPr>
      </w:pPr>
      <w:proofErr w:type="spellStart"/>
      <w:r w:rsidRPr="00A63FC5">
        <w:rPr>
          <w:rFonts w:asciiTheme="minorHAnsi" w:eastAsia="Times New Roman" w:hAnsiTheme="minorHAnsi"/>
          <w:sz w:val="18"/>
          <w:szCs w:val="18"/>
          <w:lang w:val="en-GB" w:eastAsia="en-GB"/>
        </w:rPr>
        <w:t>Makanga</w:t>
      </w:r>
      <w:proofErr w:type="spellEnd"/>
      <w:r w:rsidRPr="00A63FC5">
        <w:rPr>
          <w:rFonts w:asciiTheme="minorHAnsi" w:eastAsia="Times New Roman" w:hAnsiTheme="minorHAnsi"/>
          <w:sz w:val="18"/>
          <w:szCs w:val="18"/>
          <w:lang w:val="en-GB" w:eastAsia="en-GB"/>
        </w:rPr>
        <w:t xml:space="preserve"> M, </w:t>
      </w:r>
      <w:proofErr w:type="spellStart"/>
      <w:r w:rsidRPr="00A63FC5">
        <w:rPr>
          <w:rFonts w:asciiTheme="minorHAnsi" w:eastAsia="Times New Roman" w:hAnsiTheme="minorHAnsi"/>
          <w:sz w:val="18"/>
          <w:szCs w:val="18"/>
          <w:lang w:val="en-GB" w:eastAsia="en-GB"/>
        </w:rPr>
        <w:t>Krudsood</w:t>
      </w:r>
      <w:proofErr w:type="spellEnd"/>
      <w:r w:rsidRPr="00A63FC5">
        <w:rPr>
          <w:rFonts w:asciiTheme="minorHAnsi" w:eastAsia="Times New Roman" w:hAnsiTheme="minorHAnsi"/>
          <w:sz w:val="18"/>
          <w:szCs w:val="18"/>
          <w:lang w:val="en-GB" w:eastAsia="en-GB"/>
        </w:rPr>
        <w:t xml:space="preserve"> S.</w:t>
      </w:r>
      <w:r w:rsidR="00C74B11" w:rsidRPr="00A63FC5">
        <w:rPr>
          <w:rFonts w:asciiTheme="minorHAnsi" w:eastAsia="Times New Roman" w:hAnsiTheme="minorHAnsi"/>
          <w:sz w:val="18"/>
          <w:szCs w:val="18"/>
          <w:lang w:val="en-GB" w:eastAsia="en-GB"/>
        </w:rPr>
        <w:t xml:space="preserve"> </w:t>
      </w:r>
      <w:r w:rsidR="00C74B11" w:rsidRPr="00A63FC5">
        <w:rPr>
          <w:rFonts w:asciiTheme="minorHAnsi" w:eastAsia="Times New Roman" w:hAnsiTheme="minorHAnsi"/>
          <w:sz w:val="18"/>
          <w:szCs w:val="18"/>
          <w:lang w:val="en-GB" w:eastAsia="en-GB"/>
        </w:rPr>
        <w:t> </w:t>
      </w:r>
      <w:r w:rsidR="00C74B11" w:rsidRPr="00A63FC5">
        <w:rPr>
          <w:rFonts w:asciiTheme="minorHAnsi" w:eastAsia="Times New Roman" w:hAnsiTheme="minorHAnsi"/>
          <w:sz w:val="18"/>
          <w:szCs w:val="18"/>
          <w:lang w:val="en-GB" w:eastAsia="en-GB"/>
        </w:rPr>
        <w:t>(</w:t>
      </w:r>
      <w:r w:rsidR="00C74B11" w:rsidRPr="00A63FC5">
        <w:rPr>
          <w:rFonts w:asciiTheme="minorHAnsi" w:eastAsia="Times New Roman" w:hAnsiTheme="minorHAnsi"/>
          <w:sz w:val="18"/>
          <w:szCs w:val="18"/>
          <w:lang w:val="en-GB" w:eastAsia="en-GB"/>
        </w:rPr>
        <w:t>2009</w:t>
      </w:r>
      <w:r w:rsidR="00C74B11" w:rsidRPr="00A63FC5">
        <w:rPr>
          <w:rFonts w:asciiTheme="minorHAnsi" w:eastAsia="Times New Roman" w:hAnsiTheme="minorHAnsi"/>
          <w:sz w:val="18"/>
          <w:szCs w:val="18"/>
          <w:lang w:val="en-GB" w:eastAsia="en-GB"/>
        </w:rPr>
        <w:t>)</w:t>
      </w:r>
      <w:r w:rsidRPr="00A63FC5">
        <w:rPr>
          <w:rFonts w:asciiTheme="minorHAnsi" w:eastAsia="Times New Roman" w:hAnsiTheme="minorHAnsi"/>
          <w:sz w:val="18"/>
          <w:szCs w:val="18"/>
          <w:lang w:val="en-GB" w:eastAsia="en-GB"/>
        </w:rPr>
        <w:t xml:space="preserve"> The clinical efficacy of </w:t>
      </w:r>
      <w:proofErr w:type="spellStart"/>
      <w:r w:rsidRPr="00A63FC5">
        <w:rPr>
          <w:rFonts w:asciiTheme="minorHAnsi" w:eastAsia="Times New Roman" w:hAnsiTheme="minorHAnsi"/>
          <w:sz w:val="18"/>
          <w:szCs w:val="18"/>
          <w:lang w:val="en-GB" w:eastAsia="en-GB"/>
        </w:rPr>
        <w:t>artemether</w:t>
      </w:r>
      <w:proofErr w:type="spellEnd"/>
      <w:r w:rsidRPr="00A63FC5">
        <w:rPr>
          <w:rFonts w:asciiTheme="minorHAnsi" w:eastAsia="Times New Roman" w:hAnsiTheme="minorHAnsi"/>
          <w:sz w:val="18"/>
          <w:szCs w:val="18"/>
          <w:lang w:val="en-GB" w:eastAsia="en-GB"/>
        </w:rPr>
        <w:t>/lumefantrine (</w:t>
      </w:r>
      <w:proofErr w:type="spellStart"/>
      <w:r w:rsidRPr="00A63FC5">
        <w:rPr>
          <w:rFonts w:asciiTheme="minorHAnsi" w:eastAsia="Times New Roman" w:hAnsiTheme="minorHAnsi"/>
          <w:sz w:val="18"/>
          <w:szCs w:val="18"/>
          <w:lang w:val="en-GB" w:eastAsia="en-GB"/>
        </w:rPr>
        <w:t>Coartem</w:t>
      </w:r>
      <w:proofErr w:type="spellEnd"/>
      <w:r w:rsidRPr="00A63FC5">
        <w:rPr>
          <w:rFonts w:asciiTheme="minorHAnsi" w:eastAsia="Times New Roman" w:hAnsiTheme="minorHAnsi"/>
          <w:sz w:val="18"/>
          <w:szCs w:val="18"/>
          <w:lang w:val="en-GB" w:eastAsia="en-GB"/>
        </w:rPr>
        <w:t xml:space="preserve">), </w:t>
      </w:r>
      <w:r w:rsidRPr="00A63FC5">
        <w:rPr>
          <w:rFonts w:asciiTheme="minorHAnsi" w:eastAsia="Times New Roman" w:hAnsiTheme="minorHAnsi"/>
          <w:i/>
          <w:iCs/>
          <w:sz w:val="18"/>
          <w:szCs w:val="18"/>
          <w:lang w:val="en-GB" w:eastAsia="en-GB"/>
        </w:rPr>
        <w:t>Malar J</w:t>
      </w:r>
      <w:r w:rsidRPr="00A63FC5">
        <w:rPr>
          <w:rFonts w:asciiTheme="minorHAnsi" w:eastAsia="Times New Roman" w:hAnsiTheme="minorHAnsi"/>
          <w:sz w:val="18"/>
          <w:szCs w:val="18"/>
          <w:lang w:val="en-GB" w:eastAsia="en-GB"/>
        </w:rPr>
        <w:t xml:space="preserve"> 8</w:t>
      </w:r>
      <w:r w:rsidR="00C74B11" w:rsidRPr="00A63FC5">
        <w:rPr>
          <w:rFonts w:asciiTheme="minorHAnsi" w:eastAsia="Times New Roman" w:hAnsiTheme="minorHAnsi"/>
          <w:sz w:val="18"/>
          <w:szCs w:val="18"/>
          <w:lang w:val="en-GB" w:eastAsia="en-GB"/>
        </w:rPr>
        <w:t xml:space="preserve"> (</w:t>
      </w:r>
      <w:r w:rsidRPr="00A63FC5">
        <w:rPr>
          <w:rFonts w:asciiTheme="minorHAnsi" w:eastAsia="Times New Roman" w:hAnsiTheme="minorHAnsi"/>
          <w:sz w:val="18"/>
          <w:szCs w:val="18"/>
          <w:lang w:val="en-GB" w:eastAsia="en-GB"/>
        </w:rPr>
        <w:t xml:space="preserve"> </w:t>
      </w:r>
      <w:proofErr w:type="spellStart"/>
      <w:r w:rsidRPr="00A63FC5">
        <w:rPr>
          <w:rFonts w:asciiTheme="minorHAnsi" w:eastAsia="Times New Roman" w:hAnsiTheme="minorHAnsi"/>
          <w:sz w:val="18"/>
          <w:szCs w:val="18"/>
          <w:lang w:val="en-GB" w:eastAsia="en-GB"/>
        </w:rPr>
        <w:t>Suppl</w:t>
      </w:r>
      <w:proofErr w:type="spellEnd"/>
      <w:r w:rsidRPr="00A63FC5">
        <w:rPr>
          <w:rFonts w:asciiTheme="minorHAnsi" w:eastAsia="Times New Roman" w:hAnsiTheme="minorHAnsi"/>
          <w:sz w:val="18"/>
          <w:szCs w:val="18"/>
          <w:lang w:val="en-GB" w:eastAsia="en-GB"/>
        </w:rPr>
        <w:t xml:space="preserve"> 1</w:t>
      </w:r>
      <w:r w:rsidR="00C74B11" w:rsidRPr="00A63FC5">
        <w:rPr>
          <w:rFonts w:asciiTheme="minorHAnsi" w:eastAsia="Times New Roman" w:hAnsiTheme="minorHAnsi"/>
          <w:sz w:val="18"/>
          <w:szCs w:val="18"/>
          <w:lang w:val="en-GB" w:eastAsia="en-GB"/>
        </w:rPr>
        <w:t>)</w:t>
      </w:r>
      <w:r w:rsidRPr="00A63FC5">
        <w:rPr>
          <w:rFonts w:asciiTheme="minorHAnsi" w:eastAsia="Times New Roman" w:hAnsiTheme="minorHAnsi"/>
          <w:sz w:val="18"/>
          <w:szCs w:val="18"/>
          <w:lang w:val="en-GB" w:eastAsia="en-GB"/>
        </w:rPr>
        <w:t>: 5</w:t>
      </w:r>
    </w:p>
    <w:p w:rsidR="00D420BF" w:rsidRPr="00A63FC5" w:rsidRDefault="00D420BF" w:rsidP="007B3BA7">
      <w:pPr>
        <w:pStyle w:val="ListParagraph"/>
        <w:widowControl/>
        <w:numPr>
          <w:ilvl w:val="0"/>
          <w:numId w:val="4"/>
        </w:numPr>
        <w:shd w:val="clear" w:color="auto" w:fill="FFFFFF"/>
        <w:spacing w:before="0" w:line="240" w:lineRule="auto"/>
        <w:contextualSpacing/>
        <w:jc w:val="left"/>
        <w:textAlignment w:val="baseline"/>
        <w:rPr>
          <w:rFonts w:asciiTheme="minorHAnsi" w:eastAsia="Times New Roman" w:hAnsiTheme="minorHAnsi"/>
          <w:sz w:val="18"/>
          <w:szCs w:val="18"/>
          <w:lang w:val="en-GB" w:eastAsia="en-GB"/>
        </w:rPr>
      </w:pPr>
      <w:r w:rsidRPr="00A63FC5">
        <w:rPr>
          <w:rFonts w:asciiTheme="minorHAnsi" w:hAnsiTheme="minorHAnsi"/>
          <w:sz w:val="18"/>
          <w:szCs w:val="18"/>
          <w:shd w:val="clear" w:color="auto" w:fill="FFFFFF"/>
        </w:rPr>
        <w:t xml:space="preserve">Murray CJ, </w:t>
      </w:r>
      <w:proofErr w:type="spellStart"/>
      <w:r w:rsidRPr="00A63FC5">
        <w:rPr>
          <w:rFonts w:asciiTheme="minorHAnsi" w:hAnsiTheme="minorHAnsi"/>
          <w:sz w:val="18"/>
          <w:szCs w:val="18"/>
          <w:shd w:val="clear" w:color="auto" w:fill="FFFFFF"/>
        </w:rPr>
        <w:t>Ortblad</w:t>
      </w:r>
      <w:proofErr w:type="spellEnd"/>
      <w:r w:rsidRPr="00A63FC5">
        <w:rPr>
          <w:rFonts w:asciiTheme="minorHAnsi" w:hAnsiTheme="minorHAnsi"/>
          <w:sz w:val="18"/>
          <w:szCs w:val="18"/>
          <w:shd w:val="clear" w:color="auto" w:fill="FFFFFF"/>
        </w:rPr>
        <w:t xml:space="preserve"> KF, </w:t>
      </w:r>
      <w:proofErr w:type="spellStart"/>
      <w:r w:rsidRPr="00A63FC5">
        <w:rPr>
          <w:rFonts w:asciiTheme="minorHAnsi" w:hAnsiTheme="minorHAnsi"/>
          <w:sz w:val="18"/>
          <w:szCs w:val="18"/>
          <w:shd w:val="clear" w:color="auto" w:fill="FFFFFF"/>
        </w:rPr>
        <w:t>Guinovart</w:t>
      </w:r>
      <w:proofErr w:type="spellEnd"/>
      <w:r w:rsidRPr="00A63FC5">
        <w:rPr>
          <w:rFonts w:asciiTheme="minorHAnsi" w:hAnsiTheme="minorHAnsi"/>
          <w:sz w:val="18"/>
          <w:szCs w:val="18"/>
          <w:shd w:val="clear" w:color="auto" w:fill="FFFFFF"/>
        </w:rPr>
        <w:t xml:space="preserve"> C, Lim SS, </w:t>
      </w:r>
      <w:proofErr w:type="spellStart"/>
      <w:r w:rsidRPr="00A63FC5">
        <w:rPr>
          <w:rFonts w:asciiTheme="minorHAnsi" w:hAnsiTheme="minorHAnsi"/>
          <w:sz w:val="18"/>
          <w:szCs w:val="18"/>
          <w:shd w:val="clear" w:color="auto" w:fill="FFFFFF"/>
        </w:rPr>
        <w:t>Wolock</w:t>
      </w:r>
      <w:proofErr w:type="spellEnd"/>
      <w:r w:rsidRPr="00A63FC5">
        <w:rPr>
          <w:rFonts w:asciiTheme="minorHAnsi" w:hAnsiTheme="minorHAnsi"/>
          <w:sz w:val="18"/>
          <w:szCs w:val="18"/>
          <w:shd w:val="clear" w:color="auto" w:fill="FFFFFF"/>
        </w:rPr>
        <w:t xml:space="preserve"> TM, Roberts DA, et al. </w:t>
      </w:r>
      <w:r w:rsidR="00C74B11" w:rsidRPr="00A63FC5">
        <w:rPr>
          <w:rFonts w:asciiTheme="minorHAnsi" w:hAnsiTheme="minorHAnsi"/>
          <w:sz w:val="18"/>
          <w:szCs w:val="18"/>
          <w:shd w:val="clear" w:color="auto" w:fill="FFFFFF"/>
        </w:rPr>
        <w:t>(</w:t>
      </w:r>
      <w:r w:rsidR="00C74B11" w:rsidRPr="00A63FC5">
        <w:rPr>
          <w:rFonts w:asciiTheme="minorHAnsi" w:hAnsiTheme="minorHAnsi"/>
          <w:sz w:val="18"/>
          <w:szCs w:val="18"/>
          <w:shd w:val="clear" w:color="auto" w:fill="FFFFFF"/>
        </w:rPr>
        <w:t>2014</w:t>
      </w:r>
      <w:r w:rsidR="00C74B11" w:rsidRPr="00A63FC5">
        <w:rPr>
          <w:rFonts w:asciiTheme="minorHAnsi" w:hAnsiTheme="minorHAnsi"/>
          <w:sz w:val="18"/>
          <w:szCs w:val="18"/>
          <w:shd w:val="clear" w:color="auto" w:fill="FFFFFF"/>
        </w:rPr>
        <w:t xml:space="preserve">) </w:t>
      </w:r>
      <w:r w:rsidRPr="00A63FC5">
        <w:rPr>
          <w:rFonts w:asciiTheme="minorHAnsi" w:hAnsiTheme="minorHAnsi"/>
          <w:sz w:val="18"/>
          <w:szCs w:val="18"/>
          <w:shd w:val="clear" w:color="auto" w:fill="FFFFFF"/>
        </w:rPr>
        <w:t>Global, regional, and national incidence and mortality for HIV, tuberculosis, and malaria during 1990–2013: a systematic analysis for the Global Burden of Disease Study 2013. Lancet. 384:</w:t>
      </w:r>
      <w:r w:rsidR="00C74B11" w:rsidRPr="00A63FC5">
        <w:rPr>
          <w:rFonts w:asciiTheme="minorHAnsi" w:hAnsiTheme="minorHAnsi"/>
          <w:sz w:val="18"/>
          <w:szCs w:val="18"/>
          <w:shd w:val="clear" w:color="auto" w:fill="FFFFFF"/>
        </w:rPr>
        <w:t xml:space="preserve"> </w:t>
      </w:r>
      <w:r w:rsidRPr="00A63FC5">
        <w:rPr>
          <w:rFonts w:asciiTheme="minorHAnsi" w:hAnsiTheme="minorHAnsi"/>
          <w:sz w:val="18"/>
          <w:szCs w:val="18"/>
          <w:shd w:val="clear" w:color="auto" w:fill="FFFFFF"/>
        </w:rPr>
        <w:t>1005–70.</w:t>
      </w:r>
    </w:p>
    <w:p w:rsidR="00AE3E37" w:rsidRPr="00A63FC5" w:rsidRDefault="007B3BA7" w:rsidP="00EC2133">
      <w:pPr>
        <w:pStyle w:val="ListParagraph"/>
        <w:numPr>
          <w:ilvl w:val="0"/>
          <w:numId w:val="4"/>
        </w:numPr>
        <w:spacing w:before="0" w:line="240" w:lineRule="auto"/>
        <w:rPr>
          <w:rFonts w:asciiTheme="minorHAnsi" w:eastAsia="Times New Roman" w:hAnsiTheme="minorHAnsi" w:cs="Times New Roman"/>
          <w:sz w:val="18"/>
          <w:szCs w:val="18"/>
          <w:lang w:val="en-GB"/>
        </w:rPr>
        <w:sectPr w:rsidR="00AE3E37" w:rsidRPr="00A63FC5">
          <w:type w:val="continuous"/>
          <w:pgSz w:w="11910" w:h="16840"/>
          <w:pgMar w:top="1740" w:right="600" w:bottom="840" w:left="620" w:header="720" w:footer="720" w:gutter="0"/>
          <w:cols w:num="2" w:space="720" w:equalWidth="0">
            <w:col w:w="5214" w:space="138"/>
            <w:col w:w="5338"/>
          </w:cols>
        </w:sectPr>
      </w:pPr>
      <w:r w:rsidRPr="00A63FC5">
        <w:rPr>
          <w:rStyle w:val="name"/>
          <w:rFonts w:asciiTheme="minorHAnsi" w:hAnsiTheme="minorHAnsi" w:cs="Times New Roman"/>
          <w:bCs/>
          <w:sz w:val="18"/>
          <w:szCs w:val="18"/>
          <w:bdr w:val="none" w:sz="0" w:space="0" w:color="auto" w:frame="1"/>
        </w:rPr>
        <w:t>Ma</w:t>
      </w:r>
      <w:r w:rsidRPr="00A63FC5">
        <w:rPr>
          <w:rFonts w:asciiTheme="minorHAnsi" w:hAnsiTheme="minorHAnsi" w:cs="Times New Roman"/>
          <w:bCs/>
          <w:sz w:val="18"/>
          <w:szCs w:val="18"/>
          <w:bdr w:val="none" w:sz="0" w:space="0" w:color="auto" w:frame="1"/>
          <w:vertAlign w:val="superscript"/>
        </w:rPr>
        <w:t xml:space="preserve"> </w:t>
      </w:r>
      <w:r w:rsidRPr="00A63FC5">
        <w:rPr>
          <w:rFonts w:asciiTheme="minorHAnsi" w:hAnsiTheme="minorHAnsi" w:cs="Times New Roman"/>
          <w:bCs/>
          <w:sz w:val="18"/>
          <w:szCs w:val="18"/>
        </w:rPr>
        <w:t>Y, </w:t>
      </w:r>
      <w:r w:rsidRPr="00A63FC5">
        <w:rPr>
          <w:rStyle w:val="name"/>
          <w:rFonts w:asciiTheme="minorHAnsi" w:hAnsiTheme="minorHAnsi" w:cs="Times New Roman"/>
          <w:bCs/>
          <w:sz w:val="18"/>
          <w:szCs w:val="18"/>
          <w:bdr w:val="none" w:sz="0" w:space="0" w:color="auto" w:frame="1"/>
        </w:rPr>
        <w:t>Lu T</w:t>
      </w:r>
      <w:r w:rsidRPr="00A63FC5">
        <w:rPr>
          <w:rFonts w:asciiTheme="minorHAnsi" w:hAnsiTheme="minorHAnsi" w:cs="Times New Roman"/>
          <w:bCs/>
          <w:sz w:val="18"/>
          <w:szCs w:val="18"/>
        </w:rPr>
        <w:t xml:space="preserve">, </w:t>
      </w:r>
      <w:r w:rsidRPr="00A63FC5">
        <w:rPr>
          <w:rStyle w:val="name"/>
          <w:rFonts w:asciiTheme="minorHAnsi" w:hAnsiTheme="minorHAnsi" w:cs="Times New Roman"/>
          <w:bCs/>
          <w:sz w:val="18"/>
          <w:szCs w:val="18"/>
          <w:bdr w:val="none" w:sz="0" w:space="0" w:color="auto" w:frame="1"/>
        </w:rPr>
        <w:t>Zhao</w:t>
      </w:r>
      <w:r w:rsidRPr="00A63FC5">
        <w:rPr>
          <w:rFonts w:asciiTheme="minorHAnsi" w:hAnsiTheme="minorHAnsi" w:cs="Times New Roman"/>
          <w:bCs/>
          <w:sz w:val="18"/>
          <w:szCs w:val="18"/>
        </w:rPr>
        <w:t> </w:t>
      </w:r>
      <w:r w:rsidRPr="00A63FC5">
        <w:rPr>
          <w:rStyle w:val="name"/>
          <w:rFonts w:asciiTheme="minorHAnsi" w:hAnsiTheme="minorHAnsi" w:cs="Times New Roman"/>
          <w:bCs/>
          <w:sz w:val="18"/>
          <w:szCs w:val="18"/>
          <w:bdr w:val="none" w:sz="0" w:space="0" w:color="auto" w:frame="1"/>
        </w:rPr>
        <w:t>W,</w:t>
      </w:r>
      <w:r w:rsidRPr="00A63FC5">
        <w:rPr>
          <w:rFonts w:asciiTheme="minorHAnsi" w:eastAsia="Times New Roman" w:hAnsiTheme="minorHAnsi" w:cs="Times New Roman"/>
          <w:sz w:val="18"/>
          <w:szCs w:val="18"/>
          <w:shd w:val="clear" w:color="auto" w:fill="FFFFFF"/>
          <w:lang w:val="en-GB" w:eastAsia="en-GB"/>
        </w:rPr>
        <w:t xml:space="preserve"> </w:t>
      </w:r>
      <w:r w:rsidRPr="00A63FC5">
        <w:rPr>
          <w:rStyle w:val="name"/>
          <w:rFonts w:asciiTheme="minorHAnsi" w:hAnsiTheme="minorHAnsi" w:cs="Times New Roman"/>
          <w:bCs/>
          <w:sz w:val="18"/>
          <w:szCs w:val="18"/>
          <w:bdr w:val="none" w:sz="0" w:space="0" w:color="auto" w:frame="1"/>
        </w:rPr>
        <w:t>Wang Y</w:t>
      </w:r>
      <w:r w:rsidRPr="00A63FC5">
        <w:rPr>
          <w:rFonts w:asciiTheme="minorHAnsi" w:hAnsiTheme="minorHAnsi" w:cs="Times New Roman"/>
          <w:bCs/>
          <w:sz w:val="18"/>
          <w:szCs w:val="18"/>
        </w:rPr>
        <w:t>, </w:t>
      </w:r>
      <w:r w:rsidRPr="00A63FC5">
        <w:rPr>
          <w:rStyle w:val="name"/>
          <w:rFonts w:asciiTheme="minorHAnsi" w:hAnsiTheme="minorHAnsi" w:cs="Times New Roman"/>
          <w:bCs/>
          <w:sz w:val="18"/>
          <w:szCs w:val="18"/>
          <w:bdr w:val="none" w:sz="0" w:space="0" w:color="auto" w:frame="1"/>
        </w:rPr>
        <w:t>Chen T</w:t>
      </w:r>
      <w:r w:rsidRPr="00A63FC5">
        <w:rPr>
          <w:rFonts w:asciiTheme="minorHAnsi" w:hAnsiTheme="minorHAnsi" w:cs="Times New Roman"/>
          <w:bCs/>
          <w:sz w:val="18"/>
          <w:szCs w:val="18"/>
        </w:rPr>
        <w:t>, </w:t>
      </w:r>
      <w:r w:rsidRPr="00A63FC5">
        <w:rPr>
          <w:rStyle w:val="name"/>
          <w:rFonts w:asciiTheme="minorHAnsi" w:hAnsiTheme="minorHAnsi" w:cs="Times New Roman"/>
          <w:bCs/>
          <w:sz w:val="18"/>
          <w:szCs w:val="18"/>
          <w:bdr w:val="none" w:sz="0" w:space="0" w:color="auto" w:frame="1"/>
        </w:rPr>
        <w:t>Mei</w:t>
      </w:r>
      <w:r w:rsidRPr="00A63FC5">
        <w:rPr>
          <w:rFonts w:asciiTheme="minorHAnsi" w:hAnsiTheme="minorHAnsi" w:cs="Times New Roman"/>
          <w:bCs/>
          <w:sz w:val="18"/>
          <w:szCs w:val="18"/>
          <w:bdr w:val="none" w:sz="0" w:space="0" w:color="auto" w:frame="1"/>
          <w:vertAlign w:val="superscript"/>
        </w:rPr>
        <w:t xml:space="preserve"> </w:t>
      </w:r>
      <w:r w:rsidRPr="00A63FC5">
        <w:rPr>
          <w:rFonts w:asciiTheme="minorHAnsi" w:hAnsiTheme="minorHAnsi" w:cs="Times New Roman"/>
          <w:bCs/>
          <w:sz w:val="18"/>
          <w:szCs w:val="18"/>
        </w:rPr>
        <w:t xml:space="preserve">Q, </w:t>
      </w:r>
      <w:r w:rsidRPr="00A63FC5">
        <w:rPr>
          <w:rStyle w:val="name"/>
          <w:rFonts w:asciiTheme="minorHAnsi" w:hAnsiTheme="minorHAnsi" w:cs="Times New Roman"/>
          <w:bCs/>
          <w:sz w:val="18"/>
          <w:szCs w:val="18"/>
          <w:bdr w:val="none" w:sz="0" w:space="0" w:color="auto" w:frame="1"/>
        </w:rPr>
        <w:t>Chen T</w:t>
      </w:r>
      <w:r w:rsidRPr="00A63FC5">
        <w:rPr>
          <w:rStyle w:val="xref-sep"/>
          <w:rFonts w:asciiTheme="minorHAnsi" w:hAnsiTheme="minorHAnsi" w:cs="Times New Roman"/>
          <w:bCs/>
          <w:sz w:val="18"/>
          <w:szCs w:val="18"/>
          <w:bdr w:val="none" w:sz="0" w:space="0" w:color="auto" w:frame="1"/>
        </w:rPr>
        <w:t xml:space="preserve"> (</w:t>
      </w:r>
      <w:r w:rsidRPr="00A63FC5">
        <w:rPr>
          <w:rFonts w:asciiTheme="minorHAnsi" w:eastAsia="Times New Roman" w:hAnsiTheme="minorHAnsi" w:cs="Times New Roman"/>
          <w:bCs/>
          <w:sz w:val="18"/>
          <w:szCs w:val="18"/>
          <w:bdr w:val="none" w:sz="0" w:space="0" w:color="auto" w:frame="1"/>
          <w:lang w:val="en-GB" w:eastAsia="en-GB"/>
        </w:rPr>
        <w:t>2014)</w:t>
      </w:r>
      <w:r w:rsidRPr="00A63FC5">
        <w:rPr>
          <w:rFonts w:asciiTheme="minorHAnsi" w:eastAsia="Times New Roman" w:hAnsiTheme="minorHAnsi" w:cs="Times New Roman"/>
          <w:sz w:val="18"/>
          <w:szCs w:val="18"/>
          <w:bdr w:val="none" w:sz="0" w:space="0" w:color="auto" w:frame="1"/>
          <w:lang w:val="en-GB" w:eastAsia="en-GB"/>
        </w:rPr>
        <w:t xml:space="preserve"> </w:t>
      </w:r>
      <w:r w:rsidRPr="00A63FC5">
        <w:rPr>
          <w:rFonts w:asciiTheme="minorHAnsi" w:hAnsiTheme="minorHAnsi" w:cs="Times New Roman"/>
          <w:sz w:val="18"/>
          <w:szCs w:val="18"/>
        </w:rPr>
        <w:t xml:space="preserve">Enhanced Antimalarial Activity by a Novel Artemether-Lumefantrine Lipid Emulsion for Parenteral Administration. </w:t>
      </w:r>
      <w:proofErr w:type="spellStart"/>
      <w:r w:rsidRPr="00A63FC5">
        <w:rPr>
          <w:rFonts w:asciiTheme="minorHAnsi" w:eastAsia="Times New Roman" w:hAnsiTheme="minorHAnsi" w:cs="Times New Roman"/>
          <w:sz w:val="18"/>
          <w:szCs w:val="18"/>
          <w:bdr w:val="none" w:sz="0" w:space="0" w:color="auto" w:frame="1"/>
          <w:lang w:val="en-GB" w:eastAsia="en-GB"/>
        </w:rPr>
        <w:t>Antimicrob</w:t>
      </w:r>
      <w:proofErr w:type="spellEnd"/>
      <w:r w:rsidRPr="00A63FC5">
        <w:rPr>
          <w:rFonts w:asciiTheme="minorHAnsi" w:eastAsia="Times New Roman" w:hAnsiTheme="minorHAnsi" w:cs="Times New Roman"/>
          <w:sz w:val="18"/>
          <w:szCs w:val="18"/>
          <w:bdr w:val="none" w:sz="0" w:space="0" w:color="auto" w:frame="1"/>
          <w:lang w:val="en-GB" w:eastAsia="en-GB"/>
        </w:rPr>
        <w:t xml:space="preserve">. Agents </w:t>
      </w:r>
      <w:proofErr w:type="spellStart"/>
      <w:r w:rsidRPr="00A63FC5">
        <w:rPr>
          <w:rFonts w:asciiTheme="minorHAnsi" w:eastAsia="Times New Roman" w:hAnsiTheme="minorHAnsi" w:cs="Times New Roman"/>
          <w:sz w:val="18"/>
          <w:szCs w:val="18"/>
          <w:bdr w:val="none" w:sz="0" w:space="0" w:color="auto" w:frame="1"/>
          <w:lang w:val="en-GB" w:eastAsia="en-GB"/>
        </w:rPr>
        <w:t>Chemother</w:t>
      </w:r>
      <w:proofErr w:type="spellEnd"/>
      <w:r w:rsidRPr="00A63FC5">
        <w:rPr>
          <w:rFonts w:asciiTheme="minorHAnsi" w:eastAsia="Times New Roman" w:hAnsiTheme="minorHAnsi" w:cs="Times New Roman"/>
          <w:sz w:val="18"/>
          <w:szCs w:val="18"/>
          <w:bdr w:val="none" w:sz="0" w:space="0" w:color="auto" w:frame="1"/>
          <w:lang w:val="en-GB" w:eastAsia="en-GB"/>
        </w:rPr>
        <w:t>.</w:t>
      </w:r>
      <w:r w:rsidRPr="00A63FC5">
        <w:rPr>
          <w:rFonts w:asciiTheme="minorHAnsi" w:eastAsia="Times New Roman" w:hAnsiTheme="minorHAnsi" w:cs="Times New Roman"/>
          <w:bCs/>
          <w:sz w:val="18"/>
          <w:szCs w:val="18"/>
          <w:bdr w:val="none" w:sz="0" w:space="0" w:color="auto" w:frame="1"/>
          <w:lang w:val="en-GB" w:eastAsia="en-GB"/>
        </w:rPr>
        <w:t xml:space="preserve"> </w:t>
      </w:r>
      <w:r w:rsidRPr="00A63FC5">
        <w:rPr>
          <w:rFonts w:asciiTheme="minorHAnsi" w:eastAsia="Times New Roman" w:hAnsiTheme="minorHAnsi" w:cs="Times New Roman"/>
          <w:sz w:val="18"/>
          <w:szCs w:val="18"/>
          <w:bdr w:val="none" w:sz="0" w:space="0" w:color="auto" w:frame="1"/>
          <w:lang w:val="en-GB" w:eastAsia="en-GB"/>
        </w:rPr>
        <w:t>58 (10)</w:t>
      </w:r>
      <w:r w:rsidR="00C74B11" w:rsidRPr="00A63FC5">
        <w:rPr>
          <w:rFonts w:asciiTheme="minorHAnsi" w:eastAsia="Times New Roman" w:hAnsiTheme="minorHAnsi" w:cs="Times New Roman"/>
          <w:sz w:val="18"/>
          <w:szCs w:val="18"/>
          <w:bdr w:val="none" w:sz="0" w:space="0" w:color="auto" w:frame="1"/>
          <w:lang w:val="en-GB" w:eastAsia="en-GB"/>
        </w:rPr>
        <w:t>:</w:t>
      </w:r>
      <w:r w:rsidRPr="00A63FC5">
        <w:rPr>
          <w:rFonts w:asciiTheme="minorHAnsi" w:eastAsia="Times New Roman" w:hAnsiTheme="minorHAnsi" w:cs="Times New Roman"/>
          <w:sz w:val="18"/>
          <w:szCs w:val="18"/>
          <w:bdr w:val="none" w:sz="0" w:space="0" w:color="auto" w:frame="1"/>
          <w:lang w:val="en-GB" w:eastAsia="en-GB"/>
        </w:rPr>
        <w:t xml:space="preserve"> </w:t>
      </w:r>
      <w:r w:rsidRPr="00A63FC5">
        <w:rPr>
          <w:rFonts w:asciiTheme="minorHAnsi" w:eastAsia="Times New Roman" w:hAnsiTheme="minorHAnsi" w:cs="Times New Roman"/>
          <w:bCs/>
          <w:sz w:val="18"/>
          <w:szCs w:val="18"/>
          <w:bdr w:val="none" w:sz="0" w:space="0" w:color="auto" w:frame="1"/>
          <w:lang w:val="en-GB" w:eastAsia="en-GB"/>
        </w:rPr>
        <w:t>5658-5665</w:t>
      </w:r>
      <w:r w:rsidR="008756E6" w:rsidRPr="00A63FC5">
        <w:rPr>
          <w:rFonts w:asciiTheme="minorHAnsi" w:hAnsiTheme="minorHAns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51272E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C74B11" w:rsidRPr="00C74B11">
        <w:rPr>
          <w:noProof/>
          <w:lang w:val="en-GB" w:eastAsia="en-GB"/>
        </w:rPr>
        <w:drawing>
          <wp:inline distT="0" distB="0" distL="0" distR="0" wp14:anchorId="612BD37F" wp14:editId="695D8886">
            <wp:extent cx="1095375" cy="1133475"/>
            <wp:effectExtent l="0" t="0" r="9525" b="9525"/>
            <wp:docPr id="4" name="Picture 4" descr="C:\Users\Prof Odeku\Pictures\DSC_1021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of Odeku\Pictures\DSC_1021 copy.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5706" cy="1133818"/>
                    </a:xfrm>
                    <a:prstGeom prst="rect">
                      <a:avLst/>
                    </a:prstGeom>
                    <a:noFill/>
                    <a:ln>
                      <a:noFill/>
                    </a:ln>
                  </pic:spPr>
                </pic:pic>
              </a:graphicData>
            </a:graphic>
          </wp:inline>
        </w:drawing>
      </w:r>
      <w:r>
        <w:rPr>
          <w:noProof/>
        </w:rPr>
        <w:t xml:space="preserve">          </w:t>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EC2133">
      <w:pPr>
        <w:spacing w:before="41" w:line="154" w:lineRule="exact"/>
        <w:ind w:left="213" w:right="231"/>
        <w:jc w:val="both"/>
        <w:rPr>
          <w:rFonts w:ascii="Arial"/>
          <w:sz w:val="14"/>
        </w:rPr>
      </w:pPr>
      <w:r>
        <w:rPr>
          <w:rFonts w:ascii="Arial"/>
          <w:sz w:val="14"/>
        </w:rPr>
        <w:t>Oluwatoyin A. Odeku is a pharmacist with expertise in drug delivery, dosage form design and development of indigenous</w:t>
      </w:r>
      <w:r w:rsidR="00A63FC5">
        <w:rPr>
          <w:rFonts w:ascii="Arial"/>
          <w:sz w:val="14"/>
        </w:rPr>
        <w:t xml:space="preserve"> as</w:t>
      </w:r>
      <w:r>
        <w:rPr>
          <w:rFonts w:ascii="Arial"/>
          <w:sz w:val="14"/>
        </w:rPr>
        <w:t xml:space="preserve"> pharmaceutical excipient for novel drug delivery systems. She has built a career in teaching, research and administration. She </w:t>
      </w:r>
      <w:r w:rsidR="00A63FC5">
        <w:rPr>
          <w:rFonts w:ascii="Arial"/>
          <w:sz w:val="14"/>
        </w:rPr>
        <w:t>i</w:t>
      </w:r>
      <w:r>
        <w:rPr>
          <w:rFonts w:ascii="Arial"/>
          <w:sz w:val="14"/>
        </w:rPr>
        <w:t>s the current Dean of the Fa</w:t>
      </w:r>
      <w:r w:rsidR="00A63FC5">
        <w:rPr>
          <w:rFonts w:ascii="Arial"/>
          <w:sz w:val="14"/>
        </w:rPr>
        <w:t>c</w:t>
      </w:r>
      <w:r>
        <w:rPr>
          <w:rFonts w:ascii="Arial"/>
          <w:sz w:val="14"/>
        </w:rPr>
        <w:t xml:space="preserve">ulty of Pharmacy at the University </w:t>
      </w:r>
      <w:proofErr w:type="gramStart"/>
      <w:r>
        <w:rPr>
          <w:rFonts w:ascii="Arial"/>
          <w:sz w:val="14"/>
        </w:rPr>
        <w:t>of</w:t>
      </w:r>
      <w:proofErr w:type="gramEnd"/>
      <w:r>
        <w:rPr>
          <w:rFonts w:ascii="Arial"/>
          <w:sz w:val="14"/>
        </w:rPr>
        <w:t xml:space="preserve"> Ibadan, Nigeria. She utilizes her knowledge of pharmaceutics in the formulation of medicinal plants into conventional dosage forms. </w:t>
      </w:r>
      <w:bookmarkStart w:id="0" w:name="_GoBack"/>
      <w:bookmarkEnd w:id="0"/>
    </w:p>
    <w:p w:rsidR="00AE3E37" w:rsidRDefault="00A9710C" w:rsidP="00EC2133">
      <w:pPr>
        <w:spacing w:before="62"/>
        <w:ind w:left="4217" w:right="3580" w:hanging="707"/>
        <w:jc w:val="center"/>
        <w:rPr>
          <w:rStyle w:val="Hyperlink"/>
          <w:rFonts w:ascii="Arial"/>
          <w:sz w:val="14"/>
        </w:rPr>
      </w:pPr>
      <w:r>
        <w:rPr>
          <w:rFonts w:ascii="Arial"/>
          <w:sz w:val="14"/>
        </w:rPr>
        <w:t xml:space="preserve">Email: </w:t>
      </w:r>
      <w:hyperlink r:id="rId12" w:history="1">
        <w:r w:rsidR="00EC2133" w:rsidRPr="0067690B">
          <w:rPr>
            <w:rStyle w:val="Hyperlink"/>
            <w:rFonts w:ascii="Arial"/>
            <w:sz w:val="14"/>
          </w:rPr>
          <w:t>pejuodeku@yahoo.com</w:t>
        </w:r>
      </w:hyperlink>
      <w:r w:rsidR="00EC2133">
        <w:rPr>
          <w:rFonts w:ascii="Arial"/>
          <w:sz w:val="14"/>
        </w:rPr>
        <w:t xml:space="preserve">; </w:t>
      </w:r>
      <w:r w:rsidR="00EC2133">
        <w:rPr>
          <w:rStyle w:val="Hyperlink"/>
          <w:rFonts w:ascii="Arial"/>
          <w:sz w:val="14"/>
        </w:rPr>
        <w:t>o</w:t>
      </w:r>
      <w:r w:rsidR="00C74B11">
        <w:rPr>
          <w:rStyle w:val="Hyperlink"/>
          <w:rFonts w:ascii="Arial"/>
          <w:sz w:val="14"/>
        </w:rPr>
        <w:t>.odeku@ui.edu.ng</w:t>
      </w:r>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sidR="00C74B11">
        <w:rPr>
          <w:rStyle w:val="Hyperlink"/>
          <w:rFonts w:ascii="Arial"/>
          <w:color w:val="auto"/>
          <w:sz w:val="14"/>
          <w:u w:val="none"/>
        </w:rPr>
        <w:t>+234 805 732 0466</w:t>
      </w:r>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61EAA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EC2133" w:rsidRDefault="00A9710C" w:rsidP="00EC2133">
      <w:pPr>
        <w:spacing w:before="39"/>
        <w:ind w:left="100"/>
        <w:rPr>
          <w:rFonts w:ascii="Minion Pro"/>
          <w:b/>
          <w:sz w:val="20"/>
        </w:rPr>
        <w:sectPr w:rsidR="00AE3E37" w:rsidRPr="00EC2133">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0BDF" w:rsidRDefault="00890BDF">
      <w:r>
        <w:separator/>
      </w:r>
    </w:p>
  </w:endnote>
  <w:endnote w:type="continuationSeparator" w:id="0">
    <w:p w:rsidR="00890BDF" w:rsidRDefault="00890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0BDF" w:rsidRDefault="00890BDF">
      <w:r>
        <w:separator/>
      </w:r>
    </w:p>
  </w:footnote>
  <w:footnote w:type="continuationSeparator" w:id="0">
    <w:p w:rsidR="00890BDF" w:rsidRDefault="00890B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0071C0"/>
    <w:multiLevelType w:val="hybridMultilevel"/>
    <w:tmpl w:val="2B98F3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37D2"/>
    <w:rsid w:val="000642C6"/>
    <w:rsid w:val="00065718"/>
    <w:rsid w:val="000E2911"/>
    <w:rsid w:val="001263DF"/>
    <w:rsid w:val="002220FB"/>
    <w:rsid w:val="00292ED9"/>
    <w:rsid w:val="00404E5B"/>
    <w:rsid w:val="00414F7B"/>
    <w:rsid w:val="004355DC"/>
    <w:rsid w:val="004749B4"/>
    <w:rsid w:val="00494130"/>
    <w:rsid w:val="004F3523"/>
    <w:rsid w:val="005973B9"/>
    <w:rsid w:val="005B3A56"/>
    <w:rsid w:val="006060CE"/>
    <w:rsid w:val="0063497F"/>
    <w:rsid w:val="006910C5"/>
    <w:rsid w:val="007B3BA7"/>
    <w:rsid w:val="00827B1F"/>
    <w:rsid w:val="00873DF0"/>
    <w:rsid w:val="008756E6"/>
    <w:rsid w:val="00890BDF"/>
    <w:rsid w:val="008C219E"/>
    <w:rsid w:val="009B2D44"/>
    <w:rsid w:val="00A07E82"/>
    <w:rsid w:val="00A63FC5"/>
    <w:rsid w:val="00A9710C"/>
    <w:rsid w:val="00AC1AC7"/>
    <w:rsid w:val="00AE3E37"/>
    <w:rsid w:val="00B21A57"/>
    <w:rsid w:val="00C33602"/>
    <w:rsid w:val="00C74B11"/>
    <w:rsid w:val="00CA0CF5"/>
    <w:rsid w:val="00CC00DB"/>
    <w:rsid w:val="00CD6F55"/>
    <w:rsid w:val="00D420BF"/>
    <w:rsid w:val="00DE3104"/>
    <w:rsid w:val="00E006B9"/>
    <w:rsid w:val="00E029EB"/>
    <w:rsid w:val="00EC213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502CB17-3DD9-4575-B9E3-C3148CF74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CA0CF5"/>
    <w:rPr>
      <w:i/>
      <w:iCs/>
    </w:rPr>
  </w:style>
  <w:style w:type="character" w:customStyle="1" w:styleId="name">
    <w:name w:val="name"/>
    <w:basedOn w:val="DefaultParagraphFont"/>
    <w:rsid w:val="007B3BA7"/>
  </w:style>
  <w:style w:type="character" w:customStyle="1" w:styleId="xref-sep">
    <w:name w:val="xref-sep"/>
    <w:basedOn w:val="DefaultParagraphFont"/>
    <w:rsid w:val="007B3B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98912808">
      <w:bodyDiv w:val="1"/>
      <w:marLeft w:val="0"/>
      <w:marRight w:val="0"/>
      <w:marTop w:val="0"/>
      <w:marBottom w:val="0"/>
      <w:divBdr>
        <w:top w:val="none" w:sz="0" w:space="0" w:color="auto"/>
        <w:left w:val="none" w:sz="0" w:space="0" w:color="auto"/>
        <w:bottom w:val="none" w:sz="0" w:space="0" w:color="auto"/>
        <w:right w:val="none" w:sz="0" w:space="0" w:color="auto"/>
      </w:divBdr>
      <w:divsChild>
        <w:div w:id="470908002">
          <w:marLeft w:val="0"/>
          <w:marRight w:val="0"/>
          <w:marTop w:val="0"/>
          <w:marBottom w:val="0"/>
          <w:divBdr>
            <w:top w:val="none" w:sz="0" w:space="0" w:color="auto"/>
            <w:left w:val="none" w:sz="0" w:space="0" w:color="auto"/>
            <w:bottom w:val="none" w:sz="0" w:space="0" w:color="auto"/>
            <w:right w:val="none" w:sz="0" w:space="0" w:color="auto"/>
          </w:divBdr>
          <w:divsChild>
            <w:div w:id="1799181729">
              <w:marLeft w:val="0"/>
              <w:marRight w:val="0"/>
              <w:marTop w:val="0"/>
              <w:marBottom w:val="0"/>
              <w:divBdr>
                <w:top w:val="none" w:sz="0" w:space="0" w:color="auto"/>
                <w:left w:val="none" w:sz="0" w:space="0" w:color="auto"/>
                <w:bottom w:val="none" w:sz="0" w:space="0" w:color="auto"/>
                <w:right w:val="none" w:sz="0" w:space="0" w:color="auto"/>
              </w:divBdr>
              <w:divsChild>
                <w:div w:id="723792414">
                  <w:marLeft w:val="0"/>
                  <w:marRight w:val="0"/>
                  <w:marTop w:val="0"/>
                  <w:marBottom w:val="0"/>
                  <w:divBdr>
                    <w:top w:val="none" w:sz="0" w:space="0" w:color="auto"/>
                    <w:left w:val="none" w:sz="0" w:space="0" w:color="auto"/>
                    <w:bottom w:val="none" w:sz="0" w:space="0" w:color="auto"/>
                    <w:right w:val="none" w:sz="0" w:space="0" w:color="auto"/>
                  </w:divBdr>
                </w:div>
                <w:div w:id="1253271525">
                  <w:marLeft w:val="0"/>
                  <w:marRight w:val="0"/>
                  <w:marTop w:val="0"/>
                  <w:marBottom w:val="0"/>
                  <w:divBdr>
                    <w:top w:val="none" w:sz="0" w:space="0" w:color="auto"/>
                    <w:left w:val="none" w:sz="0" w:space="0" w:color="auto"/>
                    <w:bottom w:val="none" w:sz="0" w:space="0" w:color="auto"/>
                    <w:right w:val="none" w:sz="0" w:space="0" w:color="auto"/>
                  </w:divBdr>
                </w:div>
              </w:divsChild>
            </w:div>
            <w:div w:id="995379711">
              <w:marLeft w:val="0"/>
              <w:marRight w:val="0"/>
              <w:marTop w:val="0"/>
              <w:marBottom w:val="0"/>
              <w:divBdr>
                <w:top w:val="none" w:sz="0" w:space="0" w:color="auto"/>
                <w:left w:val="none" w:sz="0" w:space="0" w:color="auto"/>
                <w:bottom w:val="none" w:sz="0" w:space="0" w:color="auto"/>
                <w:right w:val="none" w:sz="0" w:space="0" w:color="auto"/>
              </w:divBdr>
              <w:divsChild>
                <w:div w:id="478499787">
                  <w:marLeft w:val="0"/>
                  <w:marRight w:val="0"/>
                  <w:marTop w:val="0"/>
                  <w:marBottom w:val="0"/>
                  <w:divBdr>
                    <w:top w:val="none" w:sz="0" w:space="0" w:color="auto"/>
                    <w:left w:val="none" w:sz="0" w:space="0" w:color="auto"/>
                    <w:bottom w:val="none" w:sz="0" w:space="0" w:color="auto"/>
                    <w:right w:val="none" w:sz="0" w:space="0" w:color="auto"/>
                  </w:divBdr>
                </w:div>
                <w:div w:id="687217260">
                  <w:marLeft w:val="0"/>
                  <w:marRight w:val="0"/>
                  <w:marTop w:val="0"/>
                  <w:marBottom w:val="0"/>
                  <w:divBdr>
                    <w:top w:val="none" w:sz="0" w:space="0" w:color="auto"/>
                    <w:left w:val="none" w:sz="0" w:space="0" w:color="auto"/>
                    <w:bottom w:val="none" w:sz="0" w:space="0" w:color="auto"/>
                    <w:right w:val="none" w:sz="0" w:space="0" w:color="auto"/>
                  </w:divBdr>
                </w:div>
              </w:divsChild>
            </w:div>
            <w:div w:id="2127503149">
              <w:marLeft w:val="0"/>
              <w:marRight w:val="0"/>
              <w:marTop w:val="0"/>
              <w:marBottom w:val="0"/>
              <w:divBdr>
                <w:top w:val="none" w:sz="0" w:space="0" w:color="auto"/>
                <w:left w:val="none" w:sz="0" w:space="0" w:color="auto"/>
                <w:bottom w:val="none" w:sz="0" w:space="0" w:color="auto"/>
                <w:right w:val="none" w:sz="0" w:space="0" w:color="auto"/>
              </w:divBdr>
              <w:divsChild>
                <w:div w:id="1530072332">
                  <w:marLeft w:val="0"/>
                  <w:marRight w:val="0"/>
                  <w:marTop w:val="0"/>
                  <w:marBottom w:val="0"/>
                  <w:divBdr>
                    <w:top w:val="none" w:sz="0" w:space="0" w:color="auto"/>
                    <w:left w:val="none" w:sz="0" w:space="0" w:color="auto"/>
                    <w:bottom w:val="none" w:sz="0" w:space="0" w:color="auto"/>
                    <w:right w:val="none" w:sz="0" w:space="0" w:color="auto"/>
                  </w:divBdr>
                </w:div>
                <w:div w:id="23986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3924">
          <w:marLeft w:val="0"/>
          <w:marRight w:val="0"/>
          <w:marTop w:val="0"/>
          <w:marBottom w:val="0"/>
          <w:divBdr>
            <w:top w:val="none" w:sz="0" w:space="0" w:color="auto"/>
            <w:left w:val="none" w:sz="0" w:space="0" w:color="auto"/>
            <w:bottom w:val="none" w:sz="0" w:space="0" w:color="auto"/>
            <w:right w:val="none" w:sz="0" w:space="0" w:color="auto"/>
          </w:divBdr>
        </w:div>
        <w:div w:id="1918633388">
          <w:marLeft w:val="0"/>
          <w:marRight w:val="0"/>
          <w:marTop w:val="0"/>
          <w:marBottom w:val="0"/>
          <w:divBdr>
            <w:top w:val="none" w:sz="0" w:space="0" w:color="auto"/>
            <w:left w:val="none" w:sz="0" w:space="0" w:color="auto"/>
            <w:bottom w:val="none" w:sz="0" w:space="0" w:color="auto"/>
            <w:right w:val="none" w:sz="0" w:space="0" w:color="auto"/>
          </w:divBdr>
        </w:div>
        <w:div w:id="261768276">
          <w:marLeft w:val="0"/>
          <w:marRight w:val="0"/>
          <w:marTop w:val="0"/>
          <w:marBottom w:val="0"/>
          <w:divBdr>
            <w:top w:val="none" w:sz="0" w:space="0" w:color="auto"/>
            <w:left w:val="none" w:sz="0" w:space="0" w:color="auto"/>
            <w:bottom w:val="none" w:sz="0" w:space="0" w:color="auto"/>
            <w:right w:val="none" w:sz="0" w:space="0" w:color="auto"/>
          </w:divBdr>
        </w:div>
        <w:div w:id="1635982353">
          <w:marLeft w:val="0"/>
          <w:marRight w:val="0"/>
          <w:marTop w:val="0"/>
          <w:marBottom w:val="0"/>
          <w:divBdr>
            <w:top w:val="none" w:sz="0" w:space="0" w:color="auto"/>
            <w:left w:val="none" w:sz="0" w:space="0" w:color="auto"/>
            <w:bottom w:val="none" w:sz="0" w:space="0" w:color="auto"/>
            <w:right w:val="none" w:sz="0" w:space="0" w:color="auto"/>
          </w:divBdr>
        </w:div>
        <w:div w:id="1169247050">
          <w:marLeft w:val="0"/>
          <w:marRight w:val="0"/>
          <w:marTop w:val="0"/>
          <w:marBottom w:val="0"/>
          <w:divBdr>
            <w:top w:val="none" w:sz="0" w:space="0" w:color="auto"/>
            <w:left w:val="none" w:sz="0" w:space="0" w:color="auto"/>
            <w:bottom w:val="none" w:sz="0" w:space="0" w:color="auto"/>
            <w:right w:val="none" w:sz="0" w:space="0" w:color="auto"/>
          </w:divBdr>
        </w:div>
        <w:div w:id="177539992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pejuodeku@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www.whqlibdoc.who.int/publications/2010/9789241547925_eng.pdf"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1147</TotalTime>
  <Pages>1</Pages>
  <Words>563</Words>
  <Characters>3363</Characters>
  <Application>Microsoft Office Word</Application>
  <DocSecurity>0</DocSecurity>
  <Lines>240</Lines>
  <Paragraphs>118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Prof. Odeku</cp:lastModifiedBy>
  <cp:revision>10</cp:revision>
  <cp:lastPrinted>2018-04-26T08:54:00Z</cp:lastPrinted>
  <dcterms:created xsi:type="dcterms:W3CDTF">2018-04-25T14:47:00Z</dcterms:created>
  <dcterms:modified xsi:type="dcterms:W3CDTF">2018-04-26T11:14:00Z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