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4819" w:rsidRPr="00C44819" w:rsidRDefault="00C44819" w:rsidP="00C44819">
      <w:pPr>
        <w:spacing w:after="0" w:line="360" w:lineRule="auto"/>
        <w:jc w:val="both"/>
        <w:rPr>
          <w:rFonts w:ascii="Segoe UI" w:hAnsi="Segoe UI" w:cs="Segoe UI"/>
          <w:b/>
        </w:rPr>
      </w:pPr>
      <w:r w:rsidRPr="00C44819">
        <w:rPr>
          <w:rFonts w:ascii="Segoe UI" w:hAnsi="Segoe UI" w:cs="Segoe UI"/>
          <w:b/>
        </w:rPr>
        <w:t>ASSESSMENT OF SUPPLY CHAIN PRACTICE AND ASSOCIATED FACTORS FROM HEALTHCARE PROFESSIONALS PERSPECTIVE IN PUBLIC HEALTH FACILITIES, WEST GOJJAM ZONE, ETHIOPIA, cross sectional study</w:t>
      </w:r>
    </w:p>
    <w:p w:rsidR="00C44819" w:rsidRPr="00E274F3" w:rsidRDefault="00C44819" w:rsidP="00C44819">
      <w:pPr>
        <w:spacing w:after="0" w:line="360" w:lineRule="auto"/>
        <w:jc w:val="both"/>
        <w:rPr>
          <w:rFonts w:ascii="Segoe UI" w:hAnsi="Segoe UI" w:cs="Segoe UI"/>
          <w:i/>
        </w:rPr>
      </w:pPr>
      <w:r w:rsidRPr="00E274F3">
        <w:rPr>
          <w:rFonts w:ascii="Segoe UI" w:hAnsi="Segoe UI" w:cs="Segoe UI"/>
          <w:i/>
        </w:rPr>
        <w:t>Bereket Bahiru1   Gizachew Tilahun2</w:t>
      </w:r>
    </w:p>
    <w:p w:rsidR="00C44819" w:rsidRPr="00E274F3" w:rsidRDefault="0035022E" w:rsidP="00C44819">
      <w:pPr>
        <w:spacing w:after="0" w:line="360" w:lineRule="auto"/>
        <w:jc w:val="both"/>
        <w:rPr>
          <w:rFonts w:ascii="Segoe UI" w:hAnsi="Segoe UI" w:cs="Segoe UI"/>
          <w:i/>
        </w:rPr>
      </w:pPr>
      <w:r w:rsidRPr="00E274F3">
        <w:rPr>
          <w:rFonts w:ascii="Segoe UI" w:hAnsi="Segoe UI" w:cs="Segoe UI"/>
          <w:i/>
          <w:vertAlign w:val="superscript"/>
        </w:rPr>
        <w:t>1</w:t>
      </w:r>
      <w:r w:rsidR="00C44819" w:rsidRPr="00E274F3">
        <w:rPr>
          <w:rFonts w:ascii="Segoe UI" w:hAnsi="Segoe UI" w:cs="Segoe UI"/>
          <w:i/>
        </w:rPr>
        <w:t>Debremarkos University</w:t>
      </w:r>
      <w:r w:rsidRPr="00E274F3">
        <w:rPr>
          <w:rFonts w:ascii="Segoe UI" w:hAnsi="Segoe UI" w:cs="Segoe UI"/>
          <w:i/>
        </w:rPr>
        <w:t xml:space="preserve">, college of health science, </w:t>
      </w:r>
      <w:proofErr w:type="spellStart"/>
      <w:r w:rsidRPr="00E274F3">
        <w:rPr>
          <w:rFonts w:ascii="Segoe UI" w:hAnsi="Segoe UI" w:cs="Segoe UI"/>
          <w:i/>
        </w:rPr>
        <w:t>Debremarkos</w:t>
      </w:r>
      <w:proofErr w:type="spellEnd"/>
      <w:r w:rsidRPr="00E274F3">
        <w:rPr>
          <w:rFonts w:ascii="Segoe UI" w:hAnsi="Segoe UI" w:cs="Segoe UI"/>
          <w:i/>
        </w:rPr>
        <w:t>, Ethiopia (</w:t>
      </w:r>
      <w:proofErr w:type="spellStart"/>
      <w:r w:rsidR="00C44819" w:rsidRPr="00E274F3">
        <w:rPr>
          <w:rFonts w:ascii="Segoe UI" w:hAnsi="Segoe UI" w:cs="Segoe UI"/>
          <w:i/>
        </w:rPr>
        <w:t>B.pharm</w:t>
      </w:r>
      <w:proofErr w:type="spellEnd"/>
      <w:r w:rsidR="00C44819" w:rsidRPr="00E274F3">
        <w:rPr>
          <w:rFonts w:ascii="Segoe UI" w:hAnsi="Segoe UI" w:cs="Segoe UI"/>
          <w:i/>
        </w:rPr>
        <w:t>, MSc i</w:t>
      </w:r>
      <w:r w:rsidRPr="00E274F3">
        <w:rPr>
          <w:rFonts w:ascii="Segoe UI" w:hAnsi="Segoe UI" w:cs="Segoe UI"/>
          <w:i/>
        </w:rPr>
        <w:t xml:space="preserve">n PSCM), </w:t>
      </w:r>
      <w:r w:rsidR="00C44819" w:rsidRPr="00E274F3">
        <w:rPr>
          <w:rFonts w:ascii="Segoe UI" w:hAnsi="Segoe UI" w:cs="Segoe UI"/>
          <w:i/>
        </w:rPr>
        <w:t>brktbahiru@gmail.com</w:t>
      </w:r>
    </w:p>
    <w:p w:rsidR="00C44819" w:rsidRPr="00E274F3" w:rsidRDefault="0035022E" w:rsidP="00C44819">
      <w:pPr>
        <w:spacing w:after="0" w:line="360" w:lineRule="auto"/>
        <w:jc w:val="both"/>
        <w:rPr>
          <w:rFonts w:ascii="Segoe UI" w:hAnsi="Segoe UI" w:cs="Segoe UI"/>
          <w:i/>
        </w:rPr>
      </w:pPr>
      <w:r w:rsidRPr="00E274F3">
        <w:rPr>
          <w:rFonts w:ascii="Segoe UI" w:hAnsi="Segoe UI" w:cs="Segoe UI"/>
          <w:i/>
          <w:vertAlign w:val="superscript"/>
        </w:rPr>
        <w:t>2</w:t>
      </w:r>
      <w:r w:rsidRPr="00E274F3">
        <w:rPr>
          <w:rFonts w:ascii="Segoe UI" w:hAnsi="Segoe UI" w:cs="Segoe UI"/>
          <w:i/>
        </w:rPr>
        <w:t>Jimma University, Faculty of health science, Jimma, Ethiopia (</w:t>
      </w:r>
      <w:r w:rsidR="00C44819" w:rsidRPr="00E274F3">
        <w:rPr>
          <w:rFonts w:ascii="Segoe UI" w:hAnsi="Segoe UI" w:cs="Segoe UI"/>
          <w:i/>
        </w:rPr>
        <w:t>assistant professor), gizt2001@gmail.com</w:t>
      </w:r>
    </w:p>
    <w:p w:rsidR="00C44819" w:rsidRPr="00C44819" w:rsidRDefault="00C44819" w:rsidP="00AC11D4">
      <w:pPr>
        <w:pStyle w:val="Heading1"/>
        <w:spacing w:before="0" w:line="360" w:lineRule="auto"/>
      </w:pPr>
      <w:r w:rsidRPr="00C44819">
        <w:t>Abstract</w:t>
      </w:r>
    </w:p>
    <w:p w:rsidR="00C44819" w:rsidRDefault="00C44819" w:rsidP="00C44819">
      <w:pPr>
        <w:spacing w:after="0" w:line="360" w:lineRule="auto"/>
        <w:jc w:val="both"/>
        <w:rPr>
          <w:rFonts w:ascii="Segoe UI" w:hAnsi="Segoe UI" w:cs="Segoe UI"/>
        </w:rPr>
      </w:pPr>
      <w:r w:rsidRPr="00C44819">
        <w:rPr>
          <w:rFonts w:ascii="Segoe UI" w:hAnsi="Segoe UI" w:cs="Segoe UI"/>
          <w:b/>
        </w:rPr>
        <w:t>Background</w:t>
      </w:r>
      <w:r w:rsidRPr="00C44819">
        <w:rPr>
          <w:rFonts w:ascii="Segoe UI" w:hAnsi="Segoe UI" w:cs="Segoe UI"/>
        </w:rPr>
        <w:t>: Effective pharmaceutical supply chain practices helps to minimize stock out, loss due to expiry and pilferage and for ensuring the desired pharmaceutical products are available at all time in adequate amount. In addition, it also has huge role in ensuring the quality of services provided. This study intended to assess the status of some of the supply chain practices and associated factors from healthcare professional perspective in public health facil</w:t>
      </w:r>
      <w:r>
        <w:rPr>
          <w:rFonts w:ascii="Segoe UI" w:hAnsi="Segoe UI" w:cs="Segoe UI"/>
        </w:rPr>
        <w:t>ities found in west Gojjam zone</w:t>
      </w:r>
    </w:p>
    <w:p w:rsidR="00C44819" w:rsidRPr="00C44819" w:rsidRDefault="00C44819" w:rsidP="00C44819">
      <w:pPr>
        <w:spacing w:after="0" w:line="360" w:lineRule="auto"/>
        <w:jc w:val="both"/>
        <w:rPr>
          <w:rFonts w:ascii="Segoe UI" w:hAnsi="Segoe UI" w:cs="Segoe UI"/>
        </w:rPr>
      </w:pPr>
      <w:r w:rsidRPr="00624FD6">
        <w:rPr>
          <w:rFonts w:ascii="Segoe UI" w:hAnsi="Segoe UI" w:cs="Segoe UI"/>
          <w:b/>
        </w:rPr>
        <w:t>Method and Materials</w:t>
      </w:r>
      <w:r w:rsidRPr="00C44819">
        <w:rPr>
          <w:rFonts w:ascii="Segoe UI" w:hAnsi="Segoe UI" w:cs="Segoe UI"/>
        </w:rPr>
        <w:t>: A descriptive cross-sectional study design was employed for the</w:t>
      </w:r>
      <w:r w:rsidR="00624FD6">
        <w:rPr>
          <w:rFonts w:ascii="Segoe UI" w:hAnsi="Segoe UI" w:cs="Segoe UI"/>
        </w:rPr>
        <w:t xml:space="preserve"> quantitative part of the study. </w:t>
      </w:r>
      <w:proofErr w:type="spellStart"/>
      <w:r w:rsidRPr="00C44819">
        <w:rPr>
          <w:rFonts w:ascii="Segoe UI" w:hAnsi="Segoe UI" w:cs="Segoe UI"/>
        </w:rPr>
        <w:t>Epidata</w:t>
      </w:r>
      <w:proofErr w:type="spellEnd"/>
      <w:r w:rsidRPr="00C44819">
        <w:rPr>
          <w:rFonts w:ascii="Segoe UI" w:hAnsi="Segoe UI" w:cs="Segoe UI"/>
        </w:rPr>
        <w:t xml:space="preserve"> and SPSS version 20 was utilized for data entry and analysis respectively. Simple and multiple linear regressions were done for determining the association and making prediction between dependent and independent variables. A variable with p-value less than 0.05 were considered as significantly associated.</w:t>
      </w:r>
    </w:p>
    <w:p w:rsidR="00C44819" w:rsidRPr="00C44819" w:rsidRDefault="00C44819" w:rsidP="00C44819">
      <w:pPr>
        <w:spacing w:after="0" w:line="360" w:lineRule="auto"/>
        <w:jc w:val="both"/>
        <w:rPr>
          <w:rFonts w:ascii="Segoe UI" w:hAnsi="Segoe UI" w:cs="Segoe UI"/>
        </w:rPr>
      </w:pPr>
      <w:r w:rsidRPr="00C44819">
        <w:rPr>
          <w:rFonts w:ascii="Segoe UI" w:hAnsi="Segoe UI" w:cs="Segoe UI"/>
          <w:b/>
        </w:rPr>
        <w:t>Result</w:t>
      </w:r>
      <w:r w:rsidRPr="00C44819">
        <w:rPr>
          <w:rFonts w:ascii="Segoe UI" w:hAnsi="Segoe UI" w:cs="Segoe UI"/>
        </w:rPr>
        <w:t xml:space="preserve">: A total of 425 questionnaires were distributed to respondents and 413 questionnaires were filled and returned successfully. </w:t>
      </w:r>
      <w:r w:rsidRPr="00DF2B75">
        <w:rPr>
          <w:rFonts w:ascii="Segoe UI" w:hAnsi="Segoe UI" w:cs="Segoe UI"/>
        </w:rPr>
        <w:t>Su</w:t>
      </w:r>
      <w:r w:rsidR="00926C10">
        <w:rPr>
          <w:rFonts w:ascii="Segoe UI" w:hAnsi="Segoe UI" w:cs="Segoe UI"/>
        </w:rPr>
        <w:t xml:space="preserve">pplier relationship management, </w:t>
      </w:r>
      <w:r w:rsidR="00E274F3">
        <w:rPr>
          <w:rFonts w:ascii="Segoe UI" w:hAnsi="Segoe UI" w:cs="Segoe UI"/>
        </w:rPr>
        <w:t xml:space="preserve">and </w:t>
      </w:r>
      <w:r w:rsidRPr="00DF2B75">
        <w:rPr>
          <w:rFonts w:ascii="Segoe UI" w:hAnsi="Segoe UI" w:cs="Segoe UI"/>
        </w:rPr>
        <w:t>info</w:t>
      </w:r>
      <w:r w:rsidR="00926C10">
        <w:rPr>
          <w:rFonts w:ascii="Segoe UI" w:hAnsi="Segoe UI" w:cs="Segoe UI"/>
        </w:rPr>
        <w:t xml:space="preserve">rmation sharing and technology </w:t>
      </w:r>
      <w:r w:rsidRPr="00DF2B75">
        <w:rPr>
          <w:rFonts w:ascii="Segoe UI" w:hAnsi="Segoe UI" w:cs="Segoe UI"/>
        </w:rPr>
        <w:t>were under-performed supply chain (SC) pr</w:t>
      </w:r>
      <w:r w:rsidR="00DF2B75" w:rsidRPr="00DF2B75">
        <w:rPr>
          <w:rFonts w:ascii="Segoe UI" w:hAnsi="Segoe UI" w:cs="Segoe UI"/>
        </w:rPr>
        <w:t>actice with mean value of 2.64,</w:t>
      </w:r>
      <w:r w:rsidR="00926C10">
        <w:rPr>
          <w:rFonts w:ascii="Segoe UI" w:hAnsi="Segoe UI" w:cs="Segoe UI"/>
        </w:rPr>
        <w:t xml:space="preserve"> and</w:t>
      </w:r>
      <w:r w:rsidR="00DF2B75" w:rsidRPr="00DF2B75">
        <w:rPr>
          <w:rFonts w:ascii="Segoe UI" w:hAnsi="Segoe UI" w:cs="Segoe UI"/>
        </w:rPr>
        <w:t xml:space="preserve"> 2.39</w:t>
      </w:r>
      <w:r w:rsidR="00926C10">
        <w:rPr>
          <w:rFonts w:ascii="Segoe UI" w:hAnsi="Segoe UI" w:cs="Segoe UI"/>
        </w:rPr>
        <w:t xml:space="preserve"> </w:t>
      </w:r>
      <w:r w:rsidRPr="00DF2B75">
        <w:rPr>
          <w:rFonts w:ascii="Segoe UI" w:hAnsi="Segoe UI" w:cs="Segoe UI"/>
        </w:rPr>
        <w:t xml:space="preserve">respectively. On the other hand, the inventory management was relatively better-performed SC </w:t>
      </w:r>
      <w:r w:rsidR="00DF2B75" w:rsidRPr="00DF2B75">
        <w:rPr>
          <w:rFonts w:ascii="Segoe UI" w:hAnsi="Segoe UI" w:cs="Segoe UI"/>
        </w:rPr>
        <w:t>practice with mean value</w:t>
      </w:r>
      <w:r w:rsidRPr="00DF2B75">
        <w:rPr>
          <w:rFonts w:ascii="Segoe UI" w:hAnsi="Segoe UI" w:cs="Segoe UI"/>
        </w:rPr>
        <w:t xml:space="preserve"> 3.22.</w:t>
      </w:r>
    </w:p>
    <w:p w:rsidR="00C44819" w:rsidRPr="00C44819" w:rsidRDefault="00C44819" w:rsidP="00C44819">
      <w:pPr>
        <w:spacing w:after="0" w:line="360" w:lineRule="auto"/>
        <w:jc w:val="both"/>
        <w:rPr>
          <w:rFonts w:ascii="Segoe UI" w:hAnsi="Segoe UI" w:cs="Segoe UI"/>
        </w:rPr>
      </w:pPr>
    </w:p>
    <w:p w:rsidR="00C44819" w:rsidRPr="00C44819" w:rsidRDefault="00C44819" w:rsidP="00C44819">
      <w:pPr>
        <w:spacing w:after="0" w:line="360" w:lineRule="auto"/>
        <w:jc w:val="both"/>
        <w:rPr>
          <w:rFonts w:ascii="Segoe UI" w:hAnsi="Segoe UI" w:cs="Segoe UI"/>
        </w:rPr>
      </w:pPr>
      <w:r w:rsidRPr="00C44819">
        <w:rPr>
          <w:rFonts w:ascii="Segoe UI" w:hAnsi="Segoe UI" w:cs="Segoe UI"/>
          <w:b/>
        </w:rPr>
        <w:t>Conclusion</w:t>
      </w:r>
      <w:r w:rsidRPr="00C44819">
        <w:rPr>
          <w:rFonts w:ascii="Segoe UI" w:hAnsi="Segoe UI" w:cs="Segoe UI"/>
        </w:rPr>
        <w:t xml:space="preserve">: Generally, most of the supply chain practices assessed by this study were poorly executed in public health facilities found in west Gojjam zone. The IPLS skill of the staff and management support has been the factors that were significantly </w:t>
      </w:r>
      <w:r w:rsidRPr="00C44819">
        <w:rPr>
          <w:rFonts w:ascii="Segoe UI" w:hAnsi="Segoe UI" w:cs="Segoe UI"/>
        </w:rPr>
        <w:lastRenderedPageBreak/>
        <w:t xml:space="preserve">associated with most of SC practice. Limited allocated budget, poor management support, and lack of commitment from staff was among the major challenges for the </w:t>
      </w:r>
      <w:r w:rsidR="00DF2B75" w:rsidRPr="00C44819">
        <w:rPr>
          <w:rFonts w:ascii="Segoe UI" w:hAnsi="Segoe UI" w:cs="Segoe UI"/>
        </w:rPr>
        <w:t>implementation</w:t>
      </w:r>
      <w:r w:rsidRPr="00C44819">
        <w:rPr>
          <w:rFonts w:ascii="Segoe UI" w:hAnsi="Segoe UI" w:cs="Segoe UI"/>
        </w:rPr>
        <w:t xml:space="preserve"> of</w:t>
      </w:r>
      <w:r w:rsidR="00DF2B75">
        <w:rPr>
          <w:rFonts w:ascii="Segoe UI" w:hAnsi="Segoe UI" w:cs="Segoe UI"/>
        </w:rPr>
        <w:t xml:space="preserve"> most of supply chain practices, </w:t>
      </w:r>
      <w:r w:rsidRPr="00C44819">
        <w:rPr>
          <w:rFonts w:ascii="Segoe UI" w:hAnsi="Segoe UI" w:cs="Segoe UI"/>
        </w:rPr>
        <w:t xml:space="preserve">which were reported by key informants </w:t>
      </w:r>
      <w:r w:rsidR="00DF2B75">
        <w:rPr>
          <w:rFonts w:ascii="Segoe UI" w:hAnsi="Segoe UI" w:cs="Segoe UI"/>
        </w:rPr>
        <w:t>during in-depth face-to-</w:t>
      </w:r>
      <w:r w:rsidR="00D12197">
        <w:rPr>
          <w:rFonts w:ascii="Segoe UI" w:hAnsi="Segoe UI" w:cs="Segoe UI"/>
        </w:rPr>
        <w:t>face interview.</w:t>
      </w:r>
    </w:p>
    <w:p w:rsidR="00C44819" w:rsidRPr="00C44819" w:rsidRDefault="00C44819" w:rsidP="00D12197">
      <w:pPr>
        <w:spacing w:line="360" w:lineRule="auto"/>
        <w:jc w:val="both"/>
        <w:rPr>
          <w:rFonts w:ascii="Segoe UI" w:hAnsi="Segoe UI" w:cs="Segoe UI"/>
        </w:rPr>
      </w:pPr>
      <w:r w:rsidRPr="00C44819">
        <w:rPr>
          <w:rFonts w:ascii="Segoe UI" w:hAnsi="Segoe UI" w:cs="Segoe UI"/>
          <w:b/>
        </w:rPr>
        <w:t>Recommendation</w:t>
      </w:r>
      <w:r w:rsidRPr="00C44819">
        <w:rPr>
          <w:rFonts w:ascii="Segoe UI" w:hAnsi="Segoe UI" w:cs="Segoe UI"/>
        </w:rPr>
        <w:t>: This study also constructed important recommendations for public health facilities</w:t>
      </w:r>
      <w:r w:rsidR="00D12197">
        <w:rPr>
          <w:rFonts w:ascii="Segoe UI" w:hAnsi="Segoe UI" w:cs="Segoe UI"/>
        </w:rPr>
        <w:t xml:space="preserve"> </w:t>
      </w:r>
      <w:r w:rsidRPr="00C44819">
        <w:rPr>
          <w:rFonts w:ascii="Segoe UI" w:hAnsi="Segoe UI" w:cs="Segoe UI"/>
        </w:rPr>
        <w:t>and researchers based on its major findings.</w:t>
      </w:r>
      <w:r w:rsidR="00BF248C">
        <w:rPr>
          <w:rFonts w:ascii="Segoe UI" w:hAnsi="Segoe UI" w:cs="Segoe UI"/>
        </w:rPr>
        <w:tab/>
      </w:r>
    </w:p>
    <w:p w:rsidR="00C44819" w:rsidRPr="00C44819" w:rsidRDefault="00C44819" w:rsidP="00C44819">
      <w:pPr>
        <w:spacing w:after="0" w:line="360" w:lineRule="auto"/>
        <w:jc w:val="both"/>
        <w:rPr>
          <w:rFonts w:ascii="Segoe UI" w:hAnsi="Segoe UI" w:cs="Segoe UI"/>
        </w:rPr>
      </w:pPr>
      <w:r w:rsidRPr="00D12197">
        <w:rPr>
          <w:rFonts w:ascii="Segoe UI" w:hAnsi="Segoe UI" w:cs="Segoe UI"/>
          <w:b/>
        </w:rPr>
        <w:t>Key words:</w:t>
      </w:r>
      <w:r w:rsidRPr="00C44819">
        <w:rPr>
          <w:rFonts w:ascii="Segoe UI" w:hAnsi="Segoe UI" w:cs="Segoe UI"/>
        </w:rPr>
        <w:t xml:space="preserve"> </w:t>
      </w:r>
      <w:r w:rsidRPr="00D12197">
        <w:rPr>
          <w:rFonts w:ascii="Segoe UI" w:hAnsi="Segoe UI" w:cs="Segoe UI"/>
          <w:i/>
        </w:rPr>
        <w:t>Supply Chain Practice, Public Health Facilities, Healthcare Professional, West Gojjam zone</w:t>
      </w:r>
    </w:p>
    <w:p w:rsidR="009A642C" w:rsidRPr="005F2D69" w:rsidRDefault="009A642C" w:rsidP="00BF61B5">
      <w:pPr>
        <w:widowControl w:val="0"/>
        <w:autoSpaceDE w:val="0"/>
        <w:autoSpaceDN w:val="0"/>
        <w:adjustRightInd w:val="0"/>
        <w:spacing w:line="360" w:lineRule="auto"/>
        <w:ind w:left="640" w:hanging="640"/>
        <w:rPr>
          <w:rFonts w:ascii="Segoe UI" w:eastAsia="Times New Roman" w:hAnsi="Segoe UI" w:cs="Segoe UI"/>
          <w:color w:val="auto"/>
          <w:szCs w:val="20"/>
        </w:rPr>
      </w:pPr>
      <w:bookmarkStart w:id="0" w:name="_GoBack"/>
      <w:bookmarkEnd w:id="0"/>
    </w:p>
    <w:p w:rsidR="00F407B3" w:rsidRDefault="00F407B3" w:rsidP="009A642C">
      <w:pPr>
        <w:spacing w:after="0" w:line="360" w:lineRule="auto"/>
        <w:jc w:val="both"/>
        <w:rPr>
          <w:rFonts w:ascii="Segoe UI" w:hAnsi="Segoe UI" w:cs="Segoe UI"/>
          <w:i/>
        </w:rPr>
      </w:pPr>
    </w:p>
    <w:p w:rsidR="007604A1" w:rsidRDefault="007604A1" w:rsidP="009A642C">
      <w:pPr>
        <w:spacing w:after="0" w:line="360" w:lineRule="auto"/>
        <w:jc w:val="both"/>
        <w:rPr>
          <w:rFonts w:ascii="Segoe UI" w:hAnsi="Segoe UI" w:cs="Segoe UI"/>
          <w:i/>
        </w:rPr>
      </w:pPr>
    </w:p>
    <w:p w:rsidR="007604A1" w:rsidRDefault="007604A1" w:rsidP="009A642C">
      <w:pPr>
        <w:spacing w:after="0" w:line="360" w:lineRule="auto"/>
        <w:jc w:val="both"/>
        <w:rPr>
          <w:rFonts w:ascii="Segoe UI" w:hAnsi="Segoe UI" w:cs="Segoe UI"/>
          <w:i/>
        </w:rPr>
      </w:pPr>
    </w:p>
    <w:p w:rsidR="007604A1" w:rsidRPr="004D2C35" w:rsidRDefault="007604A1" w:rsidP="009A642C">
      <w:pPr>
        <w:spacing w:after="0" w:line="360" w:lineRule="auto"/>
        <w:jc w:val="both"/>
        <w:rPr>
          <w:rFonts w:ascii="Segoe UI" w:hAnsi="Segoe UI" w:cs="Segoe UI"/>
          <w:i/>
        </w:rPr>
      </w:pPr>
    </w:p>
    <w:sectPr w:rsidR="007604A1" w:rsidRPr="004D2C35" w:rsidSect="004F305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Noto Serif"/>
    <w:panose1 w:val="02040503050406030204"/>
    <w:charset w:val="00"/>
    <w:family w:val="roman"/>
    <w:pitch w:val="variable"/>
    <w:sig w:usb0="00000001"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Arial"/>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hybridMultilevel"/>
    <w:tmpl w:val="05072366"/>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12"/>
    <w:multiLevelType w:val="hybridMultilevel"/>
    <w:tmpl w:val="77465F0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10735073"/>
    <w:multiLevelType w:val="hybridMultilevel"/>
    <w:tmpl w:val="58A05FB0"/>
    <w:lvl w:ilvl="0" w:tplc="02CEEEF8">
      <w:start w:val="1"/>
      <w:numFmt w:val="lowerLetter"/>
      <w:lvlText w:val="%1."/>
      <w:lvlJc w:val="left"/>
      <w:pPr>
        <w:ind w:left="460" w:hanging="360"/>
      </w:pPr>
      <w:rPr>
        <w:rFonts w:hint="default"/>
        <w:i/>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1"/>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4819"/>
    <w:rsid w:val="000004F3"/>
    <w:rsid w:val="000075BF"/>
    <w:rsid w:val="000632B5"/>
    <w:rsid w:val="0008151E"/>
    <w:rsid w:val="0008696E"/>
    <w:rsid w:val="000B4398"/>
    <w:rsid w:val="000C7BBC"/>
    <w:rsid w:val="000D1B46"/>
    <w:rsid w:val="000E4CD8"/>
    <w:rsid w:val="000F19CD"/>
    <w:rsid w:val="00156528"/>
    <w:rsid w:val="00171F90"/>
    <w:rsid w:val="00172BB9"/>
    <w:rsid w:val="00177893"/>
    <w:rsid w:val="00193C46"/>
    <w:rsid w:val="00197757"/>
    <w:rsid w:val="001B1970"/>
    <w:rsid w:val="001B7A08"/>
    <w:rsid w:val="001C6F59"/>
    <w:rsid w:val="001E2705"/>
    <w:rsid w:val="001E659F"/>
    <w:rsid w:val="001E7241"/>
    <w:rsid w:val="001F5C94"/>
    <w:rsid w:val="00220D69"/>
    <w:rsid w:val="0023169C"/>
    <w:rsid w:val="00231EB2"/>
    <w:rsid w:val="00245F20"/>
    <w:rsid w:val="00255F2E"/>
    <w:rsid w:val="002960AD"/>
    <w:rsid w:val="002B32B8"/>
    <w:rsid w:val="002C79EE"/>
    <w:rsid w:val="002E0743"/>
    <w:rsid w:val="002F399D"/>
    <w:rsid w:val="002F4B5D"/>
    <w:rsid w:val="00310DDD"/>
    <w:rsid w:val="00313E65"/>
    <w:rsid w:val="00344A49"/>
    <w:rsid w:val="0035022E"/>
    <w:rsid w:val="00365AE7"/>
    <w:rsid w:val="00370E87"/>
    <w:rsid w:val="003A6781"/>
    <w:rsid w:val="003E4AAC"/>
    <w:rsid w:val="003F66F4"/>
    <w:rsid w:val="004005B4"/>
    <w:rsid w:val="004018BB"/>
    <w:rsid w:val="00411C2F"/>
    <w:rsid w:val="00412E30"/>
    <w:rsid w:val="00424DB1"/>
    <w:rsid w:val="00424EDD"/>
    <w:rsid w:val="00430C80"/>
    <w:rsid w:val="00436B89"/>
    <w:rsid w:val="00446829"/>
    <w:rsid w:val="004646E9"/>
    <w:rsid w:val="00484E4D"/>
    <w:rsid w:val="004B65A8"/>
    <w:rsid w:val="004D2C35"/>
    <w:rsid w:val="004E2B14"/>
    <w:rsid w:val="004E728B"/>
    <w:rsid w:val="004F3051"/>
    <w:rsid w:val="00522206"/>
    <w:rsid w:val="00526337"/>
    <w:rsid w:val="00530F97"/>
    <w:rsid w:val="00571ACF"/>
    <w:rsid w:val="00575AF4"/>
    <w:rsid w:val="005D73F2"/>
    <w:rsid w:val="005E07F0"/>
    <w:rsid w:val="005E49AF"/>
    <w:rsid w:val="00624FD6"/>
    <w:rsid w:val="00651473"/>
    <w:rsid w:val="006645AB"/>
    <w:rsid w:val="00674B6E"/>
    <w:rsid w:val="006B1EA5"/>
    <w:rsid w:val="006F39E8"/>
    <w:rsid w:val="00723E6C"/>
    <w:rsid w:val="00740A9A"/>
    <w:rsid w:val="00740F56"/>
    <w:rsid w:val="00743EBD"/>
    <w:rsid w:val="00746688"/>
    <w:rsid w:val="007526D9"/>
    <w:rsid w:val="007604A1"/>
    <w:rsid w:val="007711D1"/>
    <w:rsid w:val="0078363C"/>
    <w:rsid w:val="007A7769"/>
    <w:rsid w:val="007B4A30"/>
    <w:rsid w:val="007D5105"/>
    <w:rsid w:val="007E2D4B"/>
    <w:rsid w:val="00800C1F"/>
    <w:rsid w:val="008407FE"/>
    <w:rsid w:val="00847B45"/>
    <w:rsid w:val="00847DAA"/>
    <w:rsid w:val="008514ED"/>
    <w:rsid w:val="008526F2"/>
    <w:rsid w:val="008650F4"/>
    <w:rsid w:val="008659B2"/>
    <w:rsid w:val="00874061"/>
    <w:rsid w:val="008A70A3"/>
    <w:rsid w:val="008D3843"/>
    <w:rsid w:val="009034F1"/>
    <w:rsid w:val="00926C10"/>
    <w:rsid w:val="00926EB2"/>
    <w:rsid w:val="009310D5"/>
    <w:rsid w:val="009328DB"/>
    <w:rsid w:val="00933C60"/>
    <w:rsid w:val="00952C09"/>
    <w:rsid w:val="00954625"/>
    <w:rsid w:val="009804F4"/>
    <w:rsid w:val="009A5160"/>
    <w:rsid w:val="009A642C"/>
    <w:rsid w:val="009C57F7"/>
    <w:rsid w:val="00A417AF"/>
    <w:rsid w:val="00A512F6"/>
    <w:rsid w:val="00A73348"/>
    <w:rsid w:val="00AA7778"/>
    <w:rsid w:val="00AB3929"/>
    <w:rsid w:val="00AB3D32"/>
    <w:rsid w:val="00AC11D4"/>
    <w:rsid w:val="00AF7445"/>
    <w:rsid w:val="00B01268"/>
    <w:rsid w:val="00B1427C"/>
    <w:rsid w:val="00B22F84"/>
    <w:rsid w:val="00B53F9F"/>
    <w:rsid w:val="00B5541B"/>
    <w:rsid w:val="00B67850"/>
    <w:rsid w:val="00BB222A"/>
    <w:rsid w:val="00BE06E4"/>
    <w:rsid w:val="00BE3D76"/>
    <w:rsid w:val="00BF248C"/>
    <w:rsid w:val="00BF61B5"/>
    <w:rsid w:val="00C1206F"/>
    <w:rsid w:val="00C24A3B"/>
    <w:rsid w:val="00C44819"/>
    <w:rsid w:val="00C51928"/>
    <w:rsid w:val="00C556DC"/>
    <w:rsid w:val="00C82D08"/>
    <w:rsid w:val="00C953D4"/>
    <w:rsid w:val="00CB0297"/>
    <w:rsid w:val="00CC2B06"/>
    <w:rsid w:val="00CD7078"/>
    <w:rsid w:val="00D014F6"/>
    <w:rsid w:val="00D05F3A"/>
    <w:rsid w:val="00D12197"/>
    <w:rsid w:val="00D234D9"/>
    <w:rsid w:val="00D473DB"/>
    <w:rsid w:val="00DA6B23"/>
    <w:rsid w:val="00DD29AA"/>
    <w:rsid w:val="00DF2B75"/>
    <w:rsid w:val="00E05898"/>
    <w:rsid w:val="00E143F6"/>
    <w:rsid w:val="00E274F3"/>
    <w:rsid w:val="00E32FE1"/>
    <w:rsid w:val="00E44533"/>
    <w:rsid w:val="00E81E24"/>
    <w:rsid w:val="00E84E58"/>
    <w:rsid w:val="00EA2280"/>
    <w:rsid w:val="00ED766F"/>
    <w:rsid w:val="00EE04CB"/>
    <w:rsid w:val="00EE64DD"/>
    <w:rsid w:val="00EF1536"/>
    <w:rsid w:val="00EF1E56"/>
    <w:rsid w:val="00EF46A7"/>
    <w:rsid w:val="00F03183"/>
    <w:rsid w:val="00F200A3"/>
    <w:rsid w:val="00F36858"/>
    <w:rsid w:val="00F37A2A"/>
    <w:rsid w:val="00F407B3"/>
    <w:rsid w:val="00F60F03"/>
    <w:rsid w:val="00F77D91"/>
    <w:rsid w:val="00F81989"/>
    <w:rsid w:val="00FA7166"/>
    <w:rsid w:val="00FD4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483DD-DAD4-F642-A2B4-858EE532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8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48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481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8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48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481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C448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819"/>
    <w:rPr>
      <w:rFonts w:ascii="Tahoma" w:hAnsi="Tahoma" w:cs="Tahoma"/>
      <w:sz w:val="16"/>
      <w:szCs w:val="16"/>
    </w:rPr>
  </w:style>
  <w:style w:type="paragraph" w:styleId="NormalWeb">
    <w:name w:val="Normal (Web)"/>
    <w:basedOn w:val="Normal"/>
    <w:uiPriority w:val="99"/>
    <w:semiHidden/>
    <w:unhideWhenUsed/>
    <w:rsid w:val="00C44819"/>
    <w:pPr>
      <w:spacing w:before="100" w:beforeAutospacing="1" w:after="100" w:afterAutospacing="1" w:line="240" w:lineRule="auto"/>
    </w:pPr>
    <w:rPr>
      <w:rFonts w:eastAsiaTheme="minorEastAsia"/>
      <w:color w:val="auto"/>
      <w:szCs w:val="24"/>
    </w:rPr>
  </w:style>
  <w:style w:type="paragraph" w:styleId="ListParagraph">
    <w:name w:val="List Paragraph"/>
    <w:basedOn w:val="Normal"/>
    <w:uiPriority w:val="34"/>
    <w:qFormat/>
    <w:rsid w:val="009A64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831660">
      <w:bodyDiv w:val="1"/>
      <w:marLeft w:val="0"/>
      <w:marRight w:val="0"/>
      <w:marTop w:val="0"/>
      <w:marBottom w:val="0"/>
      <w:divBdr>
        <w:top w:val="none" w:sz="0" w:space="0" w:color="auto"/>
        <w:left w:val="none" w:sz="0" w:space="0" w:color="auto"/>
        <w:bottom w:val="none" w:sz="0" w:space="0" w:color="auto"/>
        <w:right w:val="none" w:sz="0" w:space="0" w:color="auto"/>
      </w:divBdr>
    </w:div>
    <w:div w:id="593441336">
      <w:bodyDiv w:val="1"/>
      <w:marLeft w:val="0"/>
      <w:marRight w:val="0"/>
      <w:marTop w:val="0"/>
      <w:marBottom w:val="0"/>
      <w:divBdr>
        <w:top w:val="none" w:sz="0" w:space="0" w:color="auto"/>
        <w:left w:val="none" w:sz="0" w:space="0" w:color="auto"/>
        <w:bottom w:val="none" w:sz="0" w:space="0" w:color="auto"/>
        <w:right w:val="none" w:sz="0" w:space="0" w:color="auto"/>
      </w:divBdr>
    </w:div>
    <w:div w:id="780150672">
      <w:bodyDiv w:val="1"/>
      <w:marLeft w:val="0"/>
      <w:marRight w:val="0"/>
      <w:marTop w:val="0"/>
      <w:marBottom w:val="0"/>
      <w:divBdr>
        <w:top w:val="none" w:sz="0" w:space="0" w:color="auto"/>
        <w:left w:val="none" w:sz="0" w:space="0" w:color="auto"/>
        <w:bottom w:val="none" w:sz="0" w:space="0" w:color="auto"/>
        <w:right w:val="none" w:sz="0" w:space="0" w:color="auto"/>
      </w:divBdr>
    </w:div>
    <w:div w:id="884803176">
      <w:bodyDiv w:val="1"/>
      <w:marLeft w:val="0"/>
      <w:marRight w:val="0"/>
      <w:marTop w:val="0"/>
      <w:marBottom w:val="0"/>
      <w:divBdr>
        <w:top w:val="none" w:sz="0" w:space="0" w:color="auto"/>
        <w:left w:val="none" w:sz="0" w:space="0" w:color="auto"/>
        <w:bottom w:val="none" w:sz="0" w:space="0" w:color="auto"/>
        <w:right w:val="none" w:sz="0" w:space="0" w:color="auto"/>
      </w:divBdr>
    </w:div>
    <w:div w:id="897983723">
      <w:bodyDiv w:val="1"/>
      <w:marLeft w:val="0"/>
      <w:marRight w:val="0"/>
      <w:marTop w:val="0"/>
      <w:marBottom w:val="0"/>
      <w:divBdr>
        <w:top w:val="none" w:sz="0" w:space="0" w:color="auto"/>
        <w:left w:val="none" w:sz="0" w:space="0" w:color="auto"/>
        <w:bottom w:val="none" w:sz="0" w:space="0" w:color="auto"/>
        <w:right w:val="none" w:sz="0" w:space="0" w:color="auto"/>
      </w:divBdr>
    </w:div>
    <w:div w:id="993293087">
      <w:bodyDiv w:val="1"/>
      <w:marLeft w:val="0"/>
      <w:marRight w:val="0"/>
      <w:marTop w:val="0"/>
      <w:marBottom w:val="0"/>
      <w:divBdr>
        <w:top w:val="none" w:sz="0" w:space="0" w:color="auto"/>
        <w:left w:val="none" w:sz="0" w:space="0" w:color="auto"/>
        <w:bottom w:val="none" w:sz="0" w:space="0" w:color="auto"/>
        <w:right w:val="none" w:sz="0" w:space="0" w:color="auto"/>
      </w:divBdr>
    </w:div>
    <w:div w:id="995959295">
      <w:bodyDiv w:val="1"/>
      <w:marLeft w:val="0"/>
      <w:marRight w:val="0"/>
      <w:marTop w:val="0"/>
      <w:marBottom w:val="0"/>
      <w:divBdr>
        <w:top w:val="none" w:sz="0" w:space="0" w:color="auto"/>
        <w:left w:val="none" w:sz="0" w:space="0" w:color="auto"/>
        <w:bottom w:val="none" w:sz="0" w:space="0" w:color="auto"/>
        <w:right w:val="none" w:sz="0" w:space="0" w:color="auto"/>
      </w:divBdr>
    </w:div>
    <w:div w:id="1080755102">
      <w:bodyDiv w:val="1"/>
      <w:marLeft w:val="0"/>
      <w:marRight w:val="0"/>
      <w:marTop w:val="0"/>
      <w:marBottom w:val="0"/>
      <w:divBdr>
        <w:top w:val="none" w:sz="0" w:space="0" w:color="auto"/>
        <w:left w:val="none" w:sz="0" w:space="0" w:color="auto"/>
        <w:bottom w:val="none" w:sz="0" w:space="0" w:color="auto"/>
        <w:right w:val="none" w:sz="0" w:space="0" w:color="auto"/>
      </w:divBdr>
    </w:div>
    <w:div w:id="1198813530">
      <w:bodyDiv w:val="1"/>
      <w:marLeft w:val="0"/>
      <w:marRight w:val="0"/>
      <w:marTop w:val="0"/>
      <w:marBottom w:val="0"/>
      <w:divBdr>
        <w:top w:val="none" w:sz="0" w:space="0" w:color="auto"/>
        <w:left w:val="none" w:sz="0" w:space="0" w:color="auto"/>
        <w:bottom w:val="none" w:sz="0" w:space="0" w:color="auto"/>
        <w:right w:val="none" w:sz="0" w:space="0" w:color="auto"/>
      </w:divBdr>
    </w:div>
    <w:div w:id="1271430832">
      <w:bodyDiv w:val="1"/>
      <w:marLeft w:val="0"/>
      <w:marRight w:val="0"/>
      <w:marTop w:val="0"/>
      <w:marBottom w:val="0"/>
      <w:divBdr>
        <w:top w:val="none" w:sz="0" w:space="0" w:color="auto"/>
        <w:left w:val="none" w:sz="0" w:space="0" w:color="auto"/>
        <w:bottom w:val="none" w:sz="0" w:space="0" w:color="auto"/>
        <w:right w:val="none" w:sz="0" w:space="0" w:color="auto"/>
      </w:divBdr>
    </w:div>
    <w:div w:id="1365668541">
      <w:bodyDiv w:val="1"/>
      <w:marLeft w:val="0"/>
      <w:marRight w:val="0"/>
      <w:marTop w:val="0"/>
      <w:marBottom w:val="0"/>
      <w:divBdr>
        <w:top w:val="none" w:sz="0" w:space="0" w:color="auto"/>
        <w:left w:val="none" w:sz="0" w:space="0" w:color="auto"/>
        <w:bottom w:val="none" w:sz="0" w:space="0" w:color="auto"/>
        <w:right w:val="none" w:sz="0" w:space="0" w:color="auto"/>
      </w:divBdr>
    </w:div>
    <w:div w:id="207083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51A72-D0A6-4C4B-B6CA-4DB01B22506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2</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habesha</dc:creator>
  <cp:lastModifiedBy>Bereket Bahiru</cp:lastModifiedBy>
  <cp:revision>148</cp:revision>
  <dcterms:created xsi:type="dcterms:W3CDTF">2019-09-01T07:24:00Z</dcterms:created>
  <dcterms:modified xsi:type="dcterms:W3CDTF">2020-01-23T07:55:00Z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c188fa43-4d19-3c91-a1a5-9347a62dbbf7</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