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7BC" w:rsidRDefault="00CE37BC" w:rsidP="00CE37BC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Nano-delivery of secondary-lipophilic drug system: In vitro and ex vivo studies. </w:t>
      </w:r>
    </w:p>
    <w:p w:rsidR="006A08CF" w:rsidRDefault="006A08CF" w:rsidP="001F2C3E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Susbin Raj Wagle</w:t>
      </w:r>
    </w:p>
    <w:p w:rsidR="001F2C3E" w:rsidRDefault="001F2C3E" w:rsidP="001F2C3E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Email: </w:t>
      </w:r>
      <w:r w:rsidRPr="001F2C3E">
        <w:rPr>
          <w:rFonts w:ascii="Times New Roman" w:hAnsi="Times New Roman" w:cs="Times New Roman"/>
          <w:b/>
        </w:rPr>
        <w:t>susbinraj.wagle@postgrad.curtin.edu.au</w:t>
      </w:r>
    </w:p>
    <w:p w:rsidR="006A08CF" w:rsidRPr="00893A58" w:rsidRDefault="006A08CF" w:rsidP="001F2C3E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Curtin University, Perth, Australia.</w:t>
      </w:r>
    </w:p>
    <w:p w:rsidR="00046522" w:rsidRDefault="00046522" w:rsidP="00046522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046522" w:rsidRPr="00A6279A" w:rsidRDefault="00046522" w:rsidP="0004652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Probucol</w:t>
      </w:r>
      <w:r>
        <w:rPr>
          <w:rFonts w:ascii="Times New Roman" w:hAnsi="Times New Roman" w:cs="Times New Roman"/>
          <w:color w:val="000000" w:themeColor="text1"/>
        </w:rPr>
        <w:t xml:space="preserve"> is a </w:t>
      </w:r>
      <w:r w:rsidRPr="00B850BA">
        <w:rPr>
          <w:rFonts w:ascii="Times New Roman" w:hAnsi="Times New Roman" w:cs="Times New Roman"/>
          <w:color w:val="000000" w:themeColor="text1"/>
        </w:rPr>
        <w:t>highly lipophilic drug that has potent anti-inflammatory and anti-oxidant properties. It has been shown to a protective effect on pancreatic β cells and made a potential therapeutic agent in the treatment of T2D.</w:t>
      </w:r>
      <w:r w:rsidRPr="00046522">
        <w:rPr>
          <w:rFonts w:ascii="Times New Roman" w:hAnsi="Times New Roman" w:cs="Times New Roman"/>
        </w:rPr>
        <w:t xml:space="preserve"> </w:t>
      </w:r>
      <w:r w:rsidRPr="00893A58">
        <w:rPr>
          <w:rFonts w:ascii="Times New Roman" w:hAnsi="Times New Roman" w:cs="Times New Roman"/>
        </w:rPr>
        <w:t>Despite its high efficacy and strong antioxidants effects, PB showed significant variation after oral absorption, poor oral bioavailability</w:t>
      </w:r>
      <w:r>
        <w:rPr>
          <w:rFonts w:ascii="Times New Roman" w:hAnsi="Times New Roman" w:cs="Times New Roman"/>
        </w:rPr>
        <w:t>,</w:t>
      </w:r>
      <w:r w:rsidRPr="00893A58">
        <w:rPr>
          <w:rFonts w:ascii="Times New Roman" w:hAnsi="Times New Roman" w:cs="Times New Roman"/>
        </w:rPr>
        <w:t xml:space="preserve"> and potentially severe side effects, which restricted its </w:t>
      </w:r>
      <w:proofErr w:type="spellStart"/>
      <w:r>
        <w:rPr>
          <w:rFonts w:ascii="Times New Roman" w:hAnsi="Times New Roman" w:cs="Times New Roman"/>
        </w:rPr>
        <w:t>use.</w:t>
      </w:r>
      <w:r w:rsidRPr="00B850BA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Pr="00B850BA">
        <w:rPr>
          <w:rFonts w:ascii="Times New Roman" w:hAnsi="Times New Roman" w:cs="Times New Roman"/>
          <w:color w:val="000000" w:themeColor="text1"/>
        </w:rPr>
        <w:t xml:space="preserve"> study aimed to examine PB and LCA microcapsules in terms of the microcapsules’ morphology, </w:t>
      </w:r>
      <w:proofErr w:type="spellStart"/>
      <w:r w:rsidRPr="00B850BA">
        <w:rPr>
          <w:rFonts w:ascii="Times New Roman" w:hAnsi="Times New Roman" w:cs="Times New Roman"/>
          <w:color w:val="000000" w:themeColor="text1"/>
        </w:rPr>
        <w:t>microencapsules</w:t>
      </w:r>
      <w:proofErr w:type="spellEnd"/>
      <w:r w:rsidRPr="00B850BA">
        <w:rPr>
          <w:rFonts w:ascii="Times New Roman" w:hAnsi="Times New Roman" w:cs="Times New Roman"/>
          <w:color w:val="000000" w:themeColor="text1"/>
        </w:rPr>
        <w:t xml:space="preserve"> membrane strength, release kinetics and biological effects ex vivo.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52349F">
        <w:rPr>
          <w:rFonts w:ascii="Times New Roman" w:hAnsi="Times New Roman" w:cs="Times New Roman"/>
        </w:rPr>
        <w:t>Microencapsules</w:t>
      </w:r>
      <w:proofErr w:type="spellEnd"/>
      <w:r>
        <w:rPr>
          <w:rFonts w:ascii="Times New Roman" w:hAnsi="Times New Roman" w:cs="Times New Roman"/>
        </w:rPr>
        <w:t xml:space="preserve"> (PB-SA and </w:t>
      </w:r>
      <w:r w:rsidRPr="0052349F">
        <w:rPr>
          <w:rFonts w:ascii="Times New Roman" w:hAnsi="Times New Roman" w:cs="Times New Roman"/>
        </w:rPr>
        <w:t>PB-LCA-SA)</w:t>
      </w:r>
      <w:r>
        <w:rPr>
          <w:rFonts w:ascii="Times New Roman" w:hAnsi="Times New Roman" w:cs="Times New Roman"/>
        </w:rPr>
        <w:t xml:space="preserve"> </w:t>
      </w:r>
      <w:r w:rsidRPr="0052349F">
        <w:rPr>
          <w:rFonts w:ascii="Times New Roman" w:hAnsi="Times New Roman" w:cs="Times New Roman"/>
        </w:rPr>
        <w:t>were</w:t>
      </w:r>
      <w:r>
        <w:rPr>
          <w:rFonts w:ascii="Times New Roman" w:hAnsi="Times New Roman" w:cs="Times New Roman"/>
        </w:rPr>
        <w:t xml:space="preserve"> </w:t>
      </w:r>
      <w:r w:rsidRPr="0052349F">
        <w:rPr>
          <w:rFonts w:ascii="Times New Roman" w:hAnsi="Times New Roman" w:cs="Times New Roman"/>
        </w:rPr>
        <w:t xml:space="preserve">prepared with a </w:t>
      </w:r>
      <w:proofErr w:type="spellStart"/>
      <w:r w:rsidRPr="0052349F">
        <w:rPr>
          <w:rFonts w:ascii="Times New Roman" w:hAnsi="Times New Roman" w:cs="Times New Roman"/>
        </w:rPr>
        <w:t>Buchi</w:t>
      </w:r>
      <w:proofErr w:type="spellEnd"/>
      <w:r w:rsidRPr="0052349F">
        <w:rPr>
          <w:rFonts w:ascii="Times New Roman" w:hAnsi="Times New Roman" w:cs="Times New Roman"/>
        </w:rPr>
        <w:t>-based microencapsulating system, based on the jet-flow microencapsulation technique using polymer sodium alginate (SA) and examined </w:t>
      </w:r>
      <w:r w:rsidRPr="0052349F">
        <w:rPr>
          <w:rFonts w:ascii="Times New Roman" w:hAnsi="Times New Roman" w:cs="Times New Roman"/>
          <w:i/>
          <w:iCs/>
        </w:rPr>
        <w:t>in vitro</w:t>
      </w:r>
      <w:r w:rsidRPr="0052349F">
        <w:rPr>
          <w:rFonts w:ascii="Times New Roman" w:hAnsi="Times New Roman" w:cs="Times New Roman"/>
        </w:rPr>
        <w:t xml:space="preserve"> (formulation </w:t>
      </w:r>
      <w:r w:rsidR="007F6319">
        <w:rPr>
          <w:rFonts w:ascii="Times New Roman" w:hAnsi="Times New Roman" w:cs="Times New Roman"/>
        </w:rPr>
        <w:t xml:space="preserve">studies) and </w:t>
      </w:r>
      <w:r w:rsidRPr="0052349F">
        <w:rPr>
          <w:rFonts w:ascii="Times New Roman" w:hAnsi="Times New Roman" w:cs="Times New Roman"/>
          <w:i/>
          <w:iCs/>
        </w:rPr>
        <w:t>ex vivo</w:t>
      </w:r>
      <w:r w:rsidRPr="0052349F">
        <w:rPr>
          <w:rFonts w:ascii="Times New Roman" w:hAnsi="Times New Roman" w:cs="Times New Roman"/>
        </w:rPr>
        <w:t>.</w:t>
      </w:r>
    </w:p>
    <w:p w:rsidR="00046522" w:rsidRDefault="00046522" w:rsidP="0004652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Both control and test </w:t>
      </w:r>
      <w:proofErr w:type="spellStart"/>
      <w:r>
        <w:rPr>
          <w:rFonts w:ascii="Times New Roman" w:hAnsi="Times New Roman" w:cs="Times New Roman"/>
          <w:color w:val="000000" w:themeColor="text1"/>
        </w:rPr>
        <w:t>microencapsules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showed good and uniform morphology characteristics. Incorporation of LCA did not alter the drug content, production yield microencapsulation efficiency, zeta potential, and particle size. However, LCA reduced conductivity, </w:t>
      </w:r>
      <w:proofErr w:type="spellStart"/>
      <w:r>
        <w:rPr>
          <w:rFonts w:ascii="Times New Roman" w:hAnsi="Times New Roman" w:cs="Times New Roman"/>
          <w:color w:val="000000" w:themeColor="text1"/>
        </w:rPr>
        <w:t>microencapsules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swelling, improved membrane resistance and controlled and targeted release of PB. The </w:t>
      </w:r>
      <w:proofErr w:type="spellStart"/>
      <w:r>
        <w:rPr>
          <w:rFonts w:ascii="Times New Roman" w:hAnsi="Times New Roman" w:cs="Times New Roman"/>
          <w:color w:val="000000" w:themeColor="text1"/>
        </w:rPr>
        <w:t>microencapsules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swelling and drug release pattern were higher at high pH values (pH 7.8, p&lt;0.05). LCA </w:t>
      </w:r>
      <w:proofErr w:type="spellStart"/>
      <w:r>
        <w:rPr>
          <w:rFonts w:ascii="Times New Roman" w:hAnsi="Times New Roman" w:cs="Times New Roman"/>
          <w:color w:val="000000" w:themeColor="text1"/>
        </w:rPr>
        <w:t>microencapsules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enhanced cell viability but not statistically significant, reduced the inflammatory profile (p &lt;0.01), increased anti-inflammatory cytokine and improved bioenergetics parameter (p &lt;0.01). LCA improved the characteristics and release pattern of PB </w:t>
      </w:r>
      <w:proofErr w:type="spellStart"/>
      <w:r>
        <w:rPr>
          <w:rFonts w:ascii="Times New Roman" w:hAnsi="Times New Roman" w:cs="Times New Roman"/>
          <w:color w:val="000000" w:themeColor="text1"/>
        </w:rPr>
        <w:t>microencapsules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and also enhanced their pharmacological activity </w:t>
      </w:r>
      <w:r w:rsidRPr="007C3E7E">
        <w:rPr>
          <w:rFonts w:ascii="Times New Roman" w:hAnsi="Times New Roman" w:cs="Times New Roman"/>
          <w:i/>
          <w:color w:val="000000" w:themeColor="text1"/>
        </w:rPr>
        <w:t>in vitro</w:t>
      </w:r>
      <w:r w:rsidR="00CE37BC" w:rsidRPr="00CE37BC">
        <w:rPr>
          <w:rFonts w:ascii="Times New Roman" w:hAnsi="Times New Roman" w:cs="Times New Roman"/>
          <w:color w:val="000000" w:themeColor="text1"/>
        </w:rPr>
        <w:t xml:space="preserve"> and</w:t>
      </w:r>
      <w:r w:rsidR="00CE37BC">
        <w:rPr>
          <w:rFonts w:ascii="Times New Roman" w:hAnsi="Times New Roman" w:cs="Times New Roman"/>
          <w:i/>
          <w:color w:val="000000" w:themeColor="text1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</w:rPr>
        <w:t>ex vivo</w:t>
      </w:r>
      <w:r>
        <w:rPr>
          <w:rFonts w:ascii="Times New Roman" w:hAnsi="Times New Roman" w:cs="Times New Roman"/>
          <w:color w:val="000000" w:themeColor="text1"/>
        </w:rPr>
        <w:t>, suggesting potential oral targeted delivery and applications in diabetes treatment.</w:t>
      </w:r>
    </w:p>
    <w:p w:rsidR="00046522" w:rsidRDefault="006A08CF" w:rsidP="006A08CF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  <w:lang w:eastAsia="en-AU"/>
        </w:rPr>
        <w:drawing>
          <wp:inline distT="0" distB="0" distL="0" distR="0">
            <wp:extent cx="1600038" cy="900000"/>
            <wp:effectExtent l="76200" t="76200" r="133985" b="128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9 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038" cy="9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A08CF" w:rsidRDefault="006A08CF" w:rsidP="006A08CF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Figure: Summary of the study. </w:t>
      </w:r>
    </w:p>
    <w:p w:rsidR="00046522" w:rsidRPr="00212799" w:rsidRDefault="001F2C3E" w:rsidP="0004652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75B3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046522" w:rsidRPr="00A75B38">
        <w:rPr>
          <w:rFonts w:ascii="Times New Roman" w:hAnsi="Times New Roman" w:cs="Times New Roman"/>
          <w:b/>
          <w:color w:val="000000" w:themeColor="text1"/>
        </w:rPr>
        <w:t xml:space="preserve">Keywords: </w:t>
      </w:r>
      <w:r w:rsidR="00046522">
        <w:rPr>
          <w:rFonts w:ascii="Times New Roman" w:hAnsi="Times New Roman" w:cs="Times New Roman"/>
          <w:color w:val="000000" w:themeColor="text1"/>
        </w:rPr>
        <w:t>Microencapsulation; probucol;</w:t>
      </w:r>
      <w:r w:rsidR="00046522" w:rsidRPr="00A75B3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046522" w:rsidRPr="00A75B38">
        <w:rPr>
          <w:rFonts w:ascii="Times New Roman" w:hAnsi="Times New Roman" w:cs="Times New Roman"/>
          <w:color w:val="000000" w:themeColor="text1"/>
        </w:rPr>
        <w:t>lithocholic</w:t>
      </w:r>
      <w:proofErr w:type="spellEnd"/>
      <w:r w:rsidR="00046522">
        <w:rPr>
          <w:rFonts w:ascii="Times New Roman" w:hAnsi="Times New Roman" w:cs="Times New Roman"/>
          <w:color w:val="000000" w:themeColor="text1"/>
        </w:rPr>
        <w:t xml:space="preserve"> acid; type-2 diabetes mellitus; inflammation</w:t>
      </w:r>
    </w:p>
    <w:p w:rsidR="001F2C3E" w:rsidRDefault="001F2C3E" w:rsidP="001F2C3E">
      <w:pPr>
        <w:jc w:val="both"/>
      </w:pPr>
      <w:bookmarkStart w:id="0" w:name="_GoBack"/>
      <w:bookmarkEnd w:id="0"/>
    </w:p>
    <w:p w:rsidR="001F2C3E" w:rsidRDefault="001F2C3E" w:rsidP="001F2C3E">
      <w:pPr>
        <w:jc w:val="both"/>
      </w:pPr>
    </w:p>
    <w:p w:rsidR="00046522" w:rsidRDefault="00046522" w:rsidP="001F2C3E"/>
    <w:sectPr w:rsidR="000465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5C3"/>
    <w:rsid w:val="00046522"/>
    <w:rsid w:val="000B054A"/>
    <w:rsid w:val="000D12CC"/>
    <w:rsid w:val="0012256C"/>
    <w:rsid w:val="00193572"/>
    <w:rsid w:val="001C6CDD"/>
    <w:rsid w:val="001F2C3E"/>
    <w:rsid w:val="002D25C3"/>
    <w:rsid w:val="002D560B"/>
    <w:rsid w:val="002F6D31"/>
    <w:rsid w:val="003C71AB"/>
    <w:rsid w:val="003F392B"/>
    <w:rsid w:val="005D51A3"/>
    <w:rsid w:val="006A08CF"/>
    <w:rsid w:val="006A48D1"/>
    <w:rsid w:val="006C669F"/>
    <w:rsid w:val="00752647"/>
    <w:rsid w:val="00793E37"/>
    <w:rsid w:val="007F6319"/>
    <w:rsid w:val="008437A7"/>
    <w:rsid w:val="00A32A9E"/>
    <w:rsid w:val="00B47E93"/>
    <w:rsid w:val="00C96D07"/>
    <w:rsid w:val="00CA3BC8"/>
    <w:rsid w:val="00CE37BC"/>
    <w:rsid w:val="00D609B5"/>
    <w:rsid w:val="00EC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7BB08"/>
  <w15:chartTrackingRefBased/>
  <w15:docId w15:val="{8C4039E0-1F61-4532-8CA2-C1BED34A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309</Words>
  <Characters>1766</Characters>
  <Application>Microsoft Office Word</Application>
  <DocSecurity>0</DocSecurity>
  <Lines>14</Lines>
  <Paragraphs>4</Paragraphs>
  <ScaleCrop>false</ScaleCrop>
  <Company>Curtin University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Susbin Raj Wagle</dc:creator>
  <cp:keywords/>
  <dc:description/>
  <cp:lastModifiedBy>Susbin Raj Wagle</cp:lastModifiedBy>
  <cp:revision>9</cp:revision>
  <dcterms:created xsi:type="dcterms:W3CDTF">2019-11-22T06:07:00Z</dcterms:created>
  <dcterms:modified xsi:type="dcterms:W3CDTF">2019-11-22T06:26:00Z</dcterms:modified>
</cp:coreProperties>
</file>