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6A568" w14:textId="402457A1" w:rsidR="00AE3E37" w:rsidRDefault="00F33978" w:rsidP="00494130">
      <w:pPr>
        <w:pStyle w:val="Heading1"/>
        <w:spacing w:before="170"/>
        <w:ind w:left="0"/>
      </w:pPr>
      <w:r>
        <w:rPr>
          <w:color w:val="337AB7"/>
        </w:rPr>
        <w:t>Drug repurposing: discovery and development of new anticancer drugs from old drugs</w:t>
      </w:r>
    </w:p>
    <w:p w14:paraId="7AF48110" w14:textId="6C007571" w:rsidR="005973B9" w:rsidRDefault="00F33978" w:rsidP="005973B9">
      <w:pPr>
        <w:pStyle w:val="BodyText"/>
        <w:spacing w:before="73" w:line="198" w:lineRule="exact"/>
        <w:ind w:left="100" w:right="5987"/>
        <w:rPr>
          <w:rFonts w:ascii="Arial"/>
        </w:rPr>
      </w:pPr>
      <w:r>
        <w:rPr>
          <w:rFonts w:ascii="Arial"/>
        </w:rPr>
        <w:t>Jun O. Liu</w:t>
      </w:r>
      <w:r w:rsidR="005973B9">
        <w:rPr>
          <w:rFonts w:ascii="Arial"/>
        </w:rPr>
        <w:t xml:space="preserve">, PhD, </w:t>
      </w:r>
      <w:r>
        <w:rPr>
          <w:rFonts w:ascii="Arial"/>
        </w:rPr>
        <w:t>Departments of Pharmacology and Oncology, Johns Hopkins School of Medicine</w:t>
      </w:r>
      <w:r w:rsidR="005973B9">
        <w:rPr>
          <w:rFonts w:ascii="Arial"/>
        </w:rPr>
        <w:t xml:space="preserve">, USA </w:t>
      </w:r>
    </w:p>
    <w:p w14:paraId="11082D70" w14:textId="77777777" w:rsidR="00AE3E37" w:rsidRDefault="00AE3E37">
      <w:pPr>
        <w:pStyle w:val="BodyText"/>
        <w:rPr>
          <w:rFonts w:ascii="Arial"/>
          <w:sz w:val="20"/>
        </w:rPr>
      </w:pPr>
    </w:p>
    <w:p w14:paraId="01C3E773" w14:textId="77777777" w:rsidR="00AE3E37" w:rsidRDefault="00AE3E37">
      <w:pPr>
        <w:pStyle w:val="BodyText"/>
        <w:spacing w:before="3"/>
        <w:rPr>
          <w:rFonts w:ascii="Arial"/>
          <w:sz w:val="21"/>
        </w:rPr>
      </w:pPr>
    </w:p>
    <w:p w14:paraId="5392DE6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469DA2D" w14:textId="77777777" w:rsidR="00AE3E37" w:rsidRDefault="00A9710C">
      <w:pPr>
        <w:pStyle w:val="Heading3"/>
        <w:spacing w:before="147"/>
        <w:jc w:val="both"/>
      </w:pPr>
      <w:r>
        <w:rPr>
          <w:color w:val="BF5A14"/>
        </w:rPr>
        <w:t>Abstract</w:t>
      </w:r>
      <w:r w:rsidR="00404E5B">
        <w:rPr>
          <w:color w:val="BF5A14"/>
        </w:rPr>
        <w:t xml:space="preserve"> (300 word limit)</w:t>
      </w:r>
    </w:p>
    <w:p w14:paraId="0E6B1E25" w14:textId="5F285CB7" w:rsidR="00842AF2" w:rsidRPr="00842AF2" w:rsidRDefault="00842AF2" w:rsidP="00842AF2">
      <w:pPr>
        <w:pStyle w:val="BodyText"/>
        <w:spacing w:before="90" w:line="280" w:lineRule="auto"/>
        <w:ind w:left="100"/>
        <w:jc w:val="both"/>
      </w:pPr>
      <w:r w:rsidRPr="00842AF2">
        <w:rPr>
          <w:b/>
        </w:rPr>
        <w:t>T</w:t>
      </w:r>
      <w:r w:rsidRPr="00842AF2">
        <w:t>he discoveries of new pharmacological activity of known drugs, sometimes referred to as the “off target” effects, have appeared in the literature from time to time.  Recent years have witnessed an increase in frequency of the appearance of such discoveries. Finding new indications for existing drugs offers a number of advantages.  First, since the drug is already in use in humans, it is bioavailable and has tolerable side effects.  Second, the well-established toxicity and bioavailability of the drug in humans will significant</w:t>
      </w:r>
      <w:r>
        <w:t>ly</w:t>
      </w:r>
      <w:r w:rsidRPr="00842AF2">
        <w:t xml:space="preserve"> reduce the time and cost to test the drug </w:t>
      </w:r>
      <w:r>
        <w:t>for</w:t>
      </w:r>
      <w:r w:rsidRPr="00842AF2">
        <w:t xml:space="preserve"> the new indications in </w:t>
      </w:r>
      <w:r>
        <w:t>the clinic</w:t>
      </w:r>
      <w:r w:rsidRPr="00842AF2">
        <w:t>.  Last but not least, the extensive knowledge on the mechanism of action of a known drug and the availability of a large number of analogs during the development of the drug facilitate</w:t>
      </w:r>
      <w:r>
        <w:t>s</w:t>
      </w:r>
      <w:r w:rsidRPr="00842AF2">
        <w:t xml:space="preserve"> the understanding of the molecular basis of the new pharmacological activity and enable rapid structure/activity relationship study to develop new generations of the drug in the context of the new indication.  We began a new initiative to systematically collect and assemble a library of clinical drugs in 2003.  To date, we have to date collected over 2,</w:t>
      </w:r>
      <w:r>
        <w:t>7</w:t>
      </w:r>
      <w:r w:rsidRPr="00842AF2">
        <w:t xml:space="preserve">00 existing drugs and assembled them into the Johns Hopkins Drug Library.  We have screened this library in a number of cell-based assays for new antimalarial, anti-angiogenic and </w:t>
      </w:r>
      <w:proofErr w:type="spellStart"/>
      <w:r w:rsidRPr="00842AF2">
        <w:t>immiunosuppressive</w:t>
      </w:r>
      <w:proofErr w:type="spellEnd"/>
      <w:r w:rsidRPr="00842AF2">
        <w:t xml:space="preserve"> agents.  Novel and unexpected hits have been identified in each of the screens performed.  Mechanistic deconvolution of those hits has shed light on the regulation of different biological processes with which they interfere. Moreover, some of the hits have </w:t>
      </w:r>
      <w:r>
        <w:t>entered Phase 2 and 3 human clinical trials, underscoring the prowess of this approach to rapidly translating discoveries at the bench to the bedside</w:t>
      </w:r>
      <w:r w:rsidRPr="00842AF2">
        <w:t>.</w:t>
      </w:r>
    </w:p>
    <w:p w14:paraId="2BE3BDE6" w14:textId="18F1C6FA" w:rsidR="00AE3E37" w:rsidRDefault="00AE3E37">
      <w:pPr>
        <w:pStyle w:val="BodyText"/>
        <w:spacing w:before="90" w:line="280" w:lineRule="auto"/>
        <w:ind w:left="100"/>
        <w:jc w:val="both"/>
      </w:pPr>
    </w:p>
    <w:p w14:paraId="5AF8FA51" w14:textId="74D02C33" w:rsidR="00AE3E37" w:rsidRDefault="00A9710C" w:rsidP="00842AF2">
      <w:pPr>
        <w:pStyle w:val="Heading3"/>
        <w:spacing w:before="74"/>
        <w:ind w:left="0"/>
      </w:pPr>
      <w:r>
        <w:rPr>
          <w:b w:val="0"/>
        </w:rPr>
        <w:br w:type="column"/>
      </w:r>
    </w:p>
    <w:p w14:paraId="1CA7E67F" w14:textId="2A79BEE9" w:rsidR="00AE3E37" w:rsidRDefault="00AE3E37">
      <w:pPr>
        <w:pStyle w:val="BodyText"/>
        <w:spacing w:before="2"/>
        <w:rPr>
          <w:rFonts w:ascii="Arial"/>
          <w:b/>
          <w:sz w:val="16"/>
        </w:rPr>
      </w:pPr>
    </w:p>
    <w:p w14:paraId="70424D48" w14:textId="77777777" w:rsidR="005973B9" w:rsidRDefault="005973B9" w:rsidP="00842AF2">
      <w:pPr>
        <w:spacing w:line="204" w:lineRule="exact"/>
        <w:ind w:left="100" w:hanging="100"/>
        <w:rPr>
          <w:rFonts w:ascii="Arial"/>
          <w:b/>
          <w:sz w:val="20"/>
        </w:rPr>
      </w:pPr>
      <w:r>
        <w:rPr>
          <w:rFonts w:ascii="Arial"/>
          <w:b/>
          <w:color w:val="BF5A14"/>
          <w:sz w:val="20"/>
        </w:rPr>
        <w:br/>
        <w:t>Recent Publications (minimum 5)</w:t>
      </w:r>
    </w:p>
    <w:p w14:paraId="3F186258" w14:textId="1E84A44C" w:rsidR="00842AF2" w:rsidRPr="00842AF2" w:rsidRDefault="00842AF2" w:rsidP="00842AF2">
      <w:pPr>
        <w:pStyle w:val="ListParagraph"/>
        <w:numPr>
          <w:ilvl w:val="0"/>
          <w:numId w:val="3"/>
        </w:numPr>
        <w:tabs>
          <w:tab w:val="left" w:pos="384"/>
        </w:tabs>
        <w:spacing w:before="103" w:line="216" w:lineRule="exact"/>
        <w:ind w:right="138" w:hanging="283"/>
        <w:rPr>
          <w:sz w:val="18"/>
        </w:rPr>
      </w:pPr>
      <w:r w:rsidRPr="00842AF2">
        <w:rPr>
          <w:sz w:val="18"/>
        </w:rPr>
        <w:t xml:space="preserve">Chong CR, Xu J, Lu J, Bhat S, Sullivan DJ, Jr., </w:t>
      </w:r>
      <w:r w:rsidRPr="00842AF2">
        <w:rPr>
          <w:b/>
          <w:sz w:val="18"/>
        </w:rPr>
        <w:t>Liu JO</w:t>
      </w:r>
      <w:r w:rsidRPr="00842AF2">
        <w:rPr>
          <w:sz w:val="18"/>
        </w:rPr>
        <w:t xml:space="preserve">. </w:t>
      </w:r>
      <w:r w:rsidR="00192ACF">
        <w:rPr>
          <w:sz w:val="18"/>
        </w:rPr>
        <w:t xml:space="preserve">(2007) </w:t>
      </w:r>
      <w:r w:rsidRPr="00842AF2">
        <w:rPr>
          <w:sz w:val="18"/>
        </w:rPr>
        <w:t xml:space="preserve">Inhibition of angiogenesis by the antifungal drug itraconazole. </w:t>
      </w:r>
      <w:r w:rsidRPr="00842AF2">
        <w:rPr>
          <w:b/>
          <w:sz w:val="18"/>
        </w:rPr>
        <w:t>ACS chemical biology</w:t>
      </w:r>
      <w:r w:rsidRPr="00842AF2">
        <w:rPr>
          <w:sz w:val="18"/>
        </w:rPr>
        <w:t>. 2:</w:t>
      </w:r>
      <w:r w:rsidR="00192ACF">
        <w:rPr>
          <w:sz w:val="18"/>
        </w:rPr>
        <w:t xml:space="preserve"> </w:t>
      </w:r>
      <w:r w:rsidRPr="00842AF2">
        <w:rPr>
          <w:sz w:val="18"/>
        </w:rPr>
        <w:t xml:space="preserve">263-70. </w:t>
      </w:r>
    </w:p>
    <w:p w14:paraId="25819FC3" w14:textId="63D10287" w:rsidR="00842AF2" w:rsidRPr="00842AF2" w:rsidRDefault="00842AF2" w:rsidP="00842AF2">
      <w:pPr>
        <w:pStyle w:val="ListParagraph"/>
        <w:numPr>
          <w:ilvl w:val="0"/>
          <w:numId w:val="3"/>
        </w:numPr>
        <w:tabs>
          <w:tab w:val="left" w:pos="384"/>
        </w:tabs>
        <w:spacing w:before="103" w:line="216" w:lineRule="exact"/>
        <w:ind w:right="138" w:hanging="283"/>
        <w:rPr>
          <w:sz w:val="18"/>
        </w:rPr>
      </w:pPr>
      <w:r w:rsidRPr="00842AF2">
        <w:rPr>
          <w:sz w:val="18"/>
        </w:rPr>
        <w:t xml:space="preserve">Xu J, Dang Y, Ren YR, </w:t>
      </w:r>
      <w:r w:rsidRPr="00842AF2">
        <w:rPr>
          <w:b/>
          <w:sz w:val="18"/>
        </w:rPr>
        <w:t>Liu JO</w:t>
      </w:r>
      <w:r w:rsidRPr="00842AF2">
        <w:rPr>
          <w:sz w:val="18"/>
        </w:rPr>
        <w:t xml:space="preserve">. </w:t>
      </w:r>
      <w:r w:rsidR="00192ACF">
        <w:rPr>
          <w:sz w:val="18"/>
        </w:rPr>
        <w:t xml:space="preserve">(2010) </w:t>
      </w:r>
      <w:r w:rsidRPr="00842AF2">
        <w:rPr>
          <w:sz w:val="18"/>
        </w:rPr>
        <w:t xml:space="preserve">Cholesterol trafficking is required for mTOR activation in endothelial cells. </w:t>
      </w:r>
      <w:r w:rsidRPr="00842AF2">
        <w:rPr>
          <w:b/>
          <w:sz w:val="18"/>
        </w:rPr>
        <w:t xml:space="preserve">Proc Natl </w:t>
      </w:r>
      <w:proofErr w:type="spellStart"/>
      <w:r w:rsidRPr="00842AF2">
        <w:rPr>
          <w:b/>
          <w:sz w:val="18"/>
        </w:rPr>
        <w:t>Acad</w:t>
      </w:r>
      <w:proofErr w:type="spellEnd"/>
      <w:r w:rsidRPr="00842AF2">
        <w:rPr>
          <w:b/>
          <w:sz w:val="18"/>
        </w:rPr>
        <w:t xml:space="preserve"> Sci USA</w:t>
      </w:r>
      <w:r w:rsidRPr="00842AF2">
        <w:rPr>
          <w:sz w:val="18"/>
        </w:rPr>
        <w:t>. 107:</w:t>
      </w:r>
      <w:r w:rsidR="00192ACF">
        <w:rPr>
          <w:sz w:val="18"/>
        </w:rPr>
        <w:t xml:space="preserve"> </w:t>
      </w:r>
      <w:r w:rsidRPr="00842AF2">
        <w:rPr>
          <w:sz w:val="18"/>
        </w:rPr>
        <w:t xml:space="preserve">4764-9. </w:t>
      </w:r>
    </w:p>
    <w:p w14:paraId="78DAD4DA" w14:textId="79186188" w:rsidR="00842AF2" w:rsidRPr="00842AF2" w:rsidRDefault="00842AF2" w:rsidP="00842AF2">
      <w:pPr>
        <w:pStyle w:val="ListParagraph"/>
        <w:numPr>
          <w:ilvl w:val="0"/>
          <w:numId w:val="3"/>
        </w:numPr>
        <w:tabs>
          <w:tab w:val="left" w:pos="384"/>
        </w:tabs>
        <w:spacing w:before="103" w:line="216" w:lineRule="exact"/>
        <w:ind w:right="138" w:hanging="283"/>
        <w:rPr>
          <w:sz w:val="18"/>
        </w:rPr>
      </w:pPr>
      <w:r w:rsidRPr="00842AF2">
        <w:rPr>
          <w:sz w:val="18"/>
        </w:rPr>
        <w:t xml:space="preserve">Head, SA, Shi, W, Zhao, L, </w:t>
      </w:r>
      <w:proofErr w:type="spellStart"/>
      <w:r w:rsidRPr="00842AF2">
        <w:rPr>
          <w:sz w:val="18"/>
        </w:rPr>
        <w:t>Gorshkov</w:t>
      </w:r>
      <w:proofErr w:type="spellEnd"/>
      <w:r w:rsidRPr="00842AF2">
        <w:rPr>
          <w:sz w:val="18"/>
        </w:rPr>
        <w:t xml:space="preserve">, K, </w:t>
      </w:r>
      <w:proofErr w:type="spellStart"/>
      <w:r w:rsidRPr="00842AF2">
        <w:rPr>
          <w:sz w:val="18"/>
        </w:rPr>
        <w:t>Pasunooti</w:t>
      </w:r>
      <w:proofErr w:type="spellEnd"/>
      <w:r w:rsidRPr="00842AF2">
        <w:rPr>
          <w:sz w:val="18"/>
        </w:rPr>
        <w:t xml:space="preserve">, K, Chen, Y, Deng, Z, Li, RJ, Shim, JS, Tan, W, Hartung, T, Zhang, J, Zhao, Y, </w:t>
      </w:r>
      <w:proofErr w:type="spellStart"/>
      <w:r w:rsidRPr="00842AF2">
        <w:rPr>
          <w:sz w:val="18"/>
        </w:rPr>
        <w:t>Colombini</w:t>
      </w:r>
      <w:proofErr w:type="spellEnd"/>
      <w:r w:rsidRPr="00842AF2">
        <w:rPr>
          <w:sz w:val="18"/>
        </w:rPr>
        <w:t xml:space="preserve">, M, </w:t>
      </w:r>
      <w:r w:rsidRPr="00842AF2">
        <w:rPr>
          <w:b/>
          <w:bCs/>
          <w:sz w:val="18"/>
        </w:rPr>
        <w:t>Liu, JO.</w:t>
      </w:r>
      <w:r w:rsidRPr="00842AF2">
        <w:rPr>
          <w:sz w:val="18"/>
        </w:rPr>
        <w:t xml:space="preserve"> </w:t>
      </w:r>
      <w:r w:rsidR="00192ACF">
        <w:rPr>
          <w:sz w:val="18"/>
        </w:rPr>
        <w:t>(</w:t>
      </w:r>
      <w:r w:rsidR="00192ACF" w:rsidRPr="00842AF2">
        <w:rPr>
          <w:sz w:val="18"/>
        </w:rPr>
        <w:t>2015</w:t>
      </w:r>
      <w:r w:rsidR="00192ACF">
        <w:rPr>
          <w:sz w:val="18"/>
        </w:rPr>
        <w:t xml:space="preserve">) </w:t>
      </w:r>
      <w:r w:rsidRPr="00842AF2">
        <w:rPr>
          <w:sz w:val="18"/>
        </w:rPr>
        <w:t xml:space="preserve">Antifungal drug itraconazole targets VDAC1 to modulate the AMPK/mTOR signaling axis in endothelial cells. </w:t>
      </w:r>
      <w:r w:rsidRPr="00842AF2">
        <w:rPr>
          <w:b/>
          <w:sz w:val="18"/>
        </w:rPr>
        <w:t xml:space="preserve">Proc Natl </w:t>
      </w:r>
      <w:proofErr w:type="spellStart"/>
      <w:r w:rsidRPr="00842AF2">
        <w:rPr>
          <w:b/>
          <w:sz w:val="18"/>
        </w:rPr>
        <w:t>Acad</w:t>
      </w:r>
      <w:proofErr w:type="spellEnd"/>
      <w:r w:rsidRPr="00842AF2">
        <w:rPr>
          <w:b/>
          <w:sz w:val="18"/>
        </w:rPr>
        <w:t xml:space="preserve"> Sci USA</w:t>
      </w:r>
      <w:r w:rsidRPr="00842AF2">
        <w:rPr>
          <w:sz w:val="18"/>
        </w:rPr>
        <w:t>. 112</w:t>
      </w:r>
      <w:r w:rsidRPr="00192ACF">
        <w:rPr>
          <w:sz w:val="18"/>
        </w:rPr>
        <w:t>:</w:t>
      </w:r>
      <w:r w:rsidRPr="00842AF2">
        <w:rPr>
          <w:sz w:val="18"/>
        </w:rPr>
        <w:t xml:space="preserve"> E7276-7285. </w:t>
      </w:r>
    </w:p>
    <w:p w14:paraId="28F886C3" w14:textId="467E15DA" w:rsidR="00842AF2" w:rsidRDefault="00842AF2" w:rsidP="005973B9">
      <w:pPr>
        <w:pStyle w:val="ListParagraph"/>
        <w:numPr>
          <w:ilvl w:val="0"/>
          <w:numId w:val="3"/>
        </w:numPr>
        <w:tabs>
          <w:tab w:val="left" w:pos="384"/>
        </w:tabs>
        <w:spacing w:before="103" w:line="216" w:lineRule="exact"/>
        <w:ind w:right="138" w:hanging="283"/>
        <w:rPr>
          <w:sz w:val="18"/>
        </w:rPr>
      </w:pPr>
      <w:r w:rsidRPr="00842AF2">
        <w:rPr>
          <w:sz w:val="18"/>
        </w:rPr>
        <w:t xml:space="preserve">Shim, J. S., Li, R. J., </w:t>
      </w:r>
      <w:proofErr w:type="spellStart"/>
      <w:r w:rsidRPr="00842AF2">
        <w:rPr>
          <w:sz w:val="18"/>
        </w:rPr>
        <w:t>Bumpus</w:t>
      </w:r>
      <w:proofErr w:type="spellEnd"/>
      <w:r w:rsidRPr="00842AF2">
        <w:rPr>
          <w:sz w:val="18"/>
        </w:rPr>
        <w:t xml:space="preserve">, N. N., Head, S. A., Kumar </w:t>
      </w:r>
      <w:proofErr w:type="spellStart"/>
      <w:r w:rsidRPr="00842AF2">
        <w:rPr>
          <w:sz w:val="18"/>
        </w:rPr>
        <w:t>Pasunooti</w:t>
      </w:r>
      <w:proofErr w:type="spellEnd"/>
      <w:r w:rsidRPr="00842AF2">
        <w:rPr>
          <w:sz w:val="18"/>
        </w:rPr>
        <w:t xml:space="preserve">, K., Yang, E. J., </w:t>
      </w:r>
      <w:proofErr w:type="spellStart"/>
      <w:r w:rsidRPr="00842AF2">
        <w:rPr>
          <w:sz w:val="18"/>
        </w:rPr>
        <w:t>Lv</w:t>
      </w:r>
      <w:proofErr w:type="spellEnd"/>
      <w:r w:rsidRPr="00842AF2">
        <w:rPr>
          <w:sz w:val="18"/>
        </w:rPr>
        <w:t xml:space="preserve">, J., Shi, W., and </w:t>
      </w:r>
      <w:r w:rsidRPr="00842AF2">
        <w:rPr>
          <w:b/>
          <w:sz w:val="18"/>
        </w:rPr>
        <w:t>Liu, J. O.</w:t>
      </w:r>
      <w:r w:rsidRPr="00842AF2">
        <w:rPr>
          <w:sz w:val="18"/>
        </w:rPr>
        <w:t xml:space="preserve"> (2016) Divergence of Antiangiogenic Activity and Hepatotoxicity of Different Stereoisomers of Itraconazole. </w:t>
      </w:r>
      <w:proofErr w:type="spellStart"/>
      <w:r w:rsidRPr="00842AF2">
        <w:rPr>
          <w:b/>
          <w:sz w:val="18"/>
        </w:rPr>
        <w:t>Clin</w:t>
      </w:r>
      <w:proofErr w:type="spellEnd"/>
      <w:r w:rsidRPr="00842AF2">
        <w:rPr>
          <w:b/>
          <w:sz w:val="18"/>
        </w:rPr>
        <w:t xml:space="preserve"> Cancer Res</w:t>
      </w:r>
      <w:r w:rsidRPr="00842AF2">
        <w:rPr>
          <w:sz w:val="18"/>
        </w:rPr>
        <w:t xml:space="preserve"> </w:t>
      </w:r>
      <w:r w:rsidRPr="00192ACF">
        <w:rPr>
          <w:sz w:val="18"/>
        </w:rPr>
        <w:t>22</w:t>
      </w:r>
      <w:r w:rsidR="00192ACF">
        <w:rPr>
          <w:sz w:val="18"/>
        </w:rPr>
        <w:t>:</w:t>
      </w:r>
      <w:r w:rsidRPr="00842AF2">
        <w:rPr>
          <w:sz w:val="18"/>
        </w:rPr>
        <w:t xml:space="preserve"> 2709-2720</w:t>
      </w:r>
      <w:r w:rsidR="00192ACF">
        <w:rPr>
          <w:sz w:val="18"/>
        </w:rPr>
        <w:t>.</w:t>
      </w:r>
    </w:p>
    <w:p w14:paraId="3DA1D259" w14:textId="2B21C9EB" w:rsidR="00842AF2" w:rsidRDefault="00842AF2" w:rsidP="005973B9">
      <w:pPr>
        <w:pStyle w:val="ListParagraph"/>
        <w:numPr>
          <w:ilvl w:val="0"/>
          <w:numId w:val="3"/>
        </w:numPr>
        <w:tabs>
          <w:tab w:val="left" w:pos="384"/>
        </w:tabs>
        <w:spacing w:before="103" w:line="216" w:lineRule="exact"/>
        <w:ind w:right="138" w:hanging="283"/>
        <w:rPr>
          <w:sz w:val="18"/>
        </w:rPr>
      </w:pPr>
      <w:r w:rsidRPr="00842AF2">
        <w:rPr>
          <w:sz w:val="18"/>
        </w:rPr>
        <w:t xml:space="preserve">Head, S. A., Shi, W. Q., Yang, E. J., </w:t>
      </w:r>
      <w:proofErr w:type="spellStart"/>
      <w:r w:rsidRPr="00842AF2">
        <w:rPr>
          <w:sz w:val="18"/>
        </w:rPr>
        <w:t>Nacev</w:t>
      </w:r>
      <w:proofErr w:type="spellEnd"/>
      <w:r w:rsidRPr="00842AF2">
        <w:rPr>
          <w:sz w:val="18"/>
        </w:rPr>
        <w:t xml:space="preserve">, B. A., Hong, S. Y., </w:t>
      </w:r>
      <w:proofErr w:type="spellStart"/>
      <w:r w:rsidRPr="00842AF2">
        <w:rPr>
          <w:sz w:val="18"/>
        </w:rPr>
        <w:t>Pasunooti</w:t>
      </w:r>
      <w:proofErr w:type="spellEnd"/>
      <w:r w:rsidRPr="00842AF2">
        <w:rPr>
          <w:sz w:val="18"/>
        </w:rPr>
        <w:t xml:space="preserve">, K. K., Li, R. J., Shim, J. S., </w:t>
      </w:r>
      <w:r w:rsidRPr="00842AF2">
        <w:rPr>
          <w:b/>
          <w:sz w:val="18"/>
        </w:rPr>
        <w:t>Liu, J. O.</w:t>
      </w:r>
      <w:r w:rsidRPr="00842AF2">
        <w:rPr>
          <w:sz w:val="18"/>
        </w:rPr>
        <w:t xml:space="preserve"> (2017) Simultaneous Targeting of NPC1 and VDAC1 by Itraconazole Leads to Synergistic Inhibition of mTOR Signaling and Angiogenesis </w:t>
      </w:r>
      <w:r w:rsidRPr="00842AF2">
        <w:rPr>
          <w:b/>
          <w:sz w:val="18"/>
        </w:rPr>
        <w:t xml:space="preserve">ACS </w:t>
      </w:r>
      <w:proofErr w:type="spellStart"/>
      <w:r w:rsidRPr="00842AF2">
        <w:rPr>
          <w:b/>
          <w:sz w:val="18"/>
        </w:rPr>
        <w:t>Chem</w:t>
      </w:r>
      <w:proofErr w:type="spellEnd"/>
      <w:r w:rsidRPr="00842AF2">
        <w:rPr>
          <w:b/>
          <w:sz w:val="18"/>
        </w:rPr>
        <w:t xml:space="preserve"> </w:t>
      </w:r>
      <w:proofErr w:type="spellStart"/>
      <w:r w:rsidRPr="00842AF2">
        <w:rPr>
          <w:b/>
          <w:sz w:val="18"/>
        </w:rPr>
        <w:t>Biol</w:t>
      </w:r>
      <w:proofErr w:type="spellEnd"/>
      <w:r w:rsidRPr="00842AF2">
        <w:rPr>
          <w:sz w:val="18"/>
        </w:rPr>
        <w:t xml:space="preserve"> </w:t>
      </w:r>
      <w:r w:rsidRPr="00192ACF">
        <w:rPr>
          <w:sz w:val="18"/>
        </w:rPr>
        <w:t>12</w:t>
      </w:r>
      <w:r w:rsidR="00192ACF">
        <w:rPr>
          <w:sz w:val="18"/>
        </w:rPr>
        <w:t>:</w:t>
      </w:r>
      <w:r w:rsidRPr="00842AF2">
        <w:rPr>
          <w:sz w:val="18"/>
        </w:rPr>
        <w:t xml:space="preserve"> 174-182.</w:t>
      </w:r>
    </w:p>
    <w:p w14:paraId="29CD72B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9B774B5" w14:textId="77777777" w:rsidR="00AE3E37" w:rsidRDefault="00AE3E37">
      <w:pPr>
        <w:pStyle w:val="BodyText"/>
        <w:rPr>
          <w:rFonts w:ascii="Calibri"/>
          <w:sz w:val="20"/>
        </w:rPr>
      </w:pPr>
    </w:p>
    <w:p w14:paraId="1E05188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93A0F42" wp14:editId="4368528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D32A9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B66A124" w14:textId="77777777" w:rsidR="00192ACF" w:rsidRDefault="008756E6" w:rsidP="00192ACF">
      <w:pPr>
        <w:spacing w:before="92"/>
        <w:ind w:right="4234"/>
        <w:rPr>
          <w:noProof/>
        </w:rPr>
      </w:pPr>
      <w:r>
        <w:rPr>
          <w:noProof/>
        </w:rPr>
        <w:t xml:space="preserve">              </w:t>
      </w:r>
    </w:p>
    <w:p w14:paraId="1BDDCA69" w14:textId="77777777" w:rsidR="00192ACF" w:rsidRDefault="00192ACF" w:rsidP="00192ACF">
      <w:pPr>
        <w:spacing w:before="92"/>
        <w:ind w:right="4234"/>
        <w:rPr>
          <w:noProof/>
        </w:rPr>
      </w:pPr>
    </w:p>
    <w:p w14:paraId="4489AAAF" w14:textId="1B40B148" w:rsidR="00AE3E37" w:rsidRDefault="00A9710C" w:rsidP="00192ACF">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192ACF" w:rsidRPr="00192ACF">
        <w:rPr>
          <w:rFonts w:ascii="Times New Roman" w:hAnsi="Times New Roman"/>
          <w:noProof/>
          <w:sz w:val="24"/>
          <w:szCs w:val="24"/>
          <w:lang w:eastAsia="zh-CN"/>
        </w:rPr>
        <w:t xml:space="preserve"> </w:t>
      </w:r>
      <w:r w:rsidR="00192ACF" w:rsidRPr="007F5402">
        <w:rPr>
          <w:rFonts w:ascii="Times New Roman" w:hAnsi="Times New Roman"/>
          <w:noProof/>
          <w:sz w:val="24"/>
          <w:szCs w:val="24"/>
          <w:lang w:eastAsia="zh-CN"/>
        </w:rPr>
        <w:drawing>
          <wp:inline distT="0" distB="0" distL="0" distR="0" wp14:anchorId="6B33FE52" wp14:editId="44B07325">
            <wp:extent cx="1095703" cy="1198179"/>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2688" cy="1205818"/>
                    </a:xfrm>
                    <a:prstGeom prst="rect">
                      <a:avLst/>
                    </a:prstGeom>
                    <a:noFill/>
                    <a:ln>
                      <a:noFill/>
                    </a:ln>
                  </pic:spPr>
                </pic:pic>
              </a:graphicData>
            </a:graphic>
          </wp:inline>
        </w:drawing>
      </w:r>
    </w:p>
    <w:p w14:paraId="7065E0A6" w14:textId="7E12DFEE" w:rsidR="00AE3E37" w:rsidRDefault="009C1B7C">
      <w:pPr>
        <w:spacing w:before="41" w:line="154" w:lineRule="exact"/>
        <w:ind w:left="213" w:right="231"/>
        <w:jc w:val="both"/>
        <w:rPr>
          <w:rFonts w:ascii="Arial"/>
          <w:sz w:val="14"/>
        </w:rPr>
      </w:pPr>
      <w:r w:rsidRPr="009C1B7C">
        <w:rPr>
          <w:rFonts w:ascii="Arial"/>
          <w:sz w:val="14"/>
          <w:lang w:val="en-NZ"/>
        </w:rPr>
        <w:t xml:space="preserve">Professor Jun O. Liu received his B.S. degree in Chemistry from Nanjing University. He went to the US through the Chemistry Graduate Program, obtaining his MS in organic chemistry from the Ohio State University and his PhD in biochemistry from MIT. He did his postdoc at Harvard University and served as a research associate at the NIH. He served as an assistant and associate professor of chemistry and biology at MIT </w:t>
      </w:r>
      <w:proofErr w:type="spellStart"/>
      <w:r w:rsidRPr="009C1B7C">
        <w:rPr>
          <w:rFonts w:ascii="Arial"/>
          <w:sz w:val="14"/>
          <w:lang w:val="en-NZ"/>
        </w:rPr>
        <w:t>Center</w:t>
      </w:r>
      <w:proofErr w:type="spellEnd"/>
      <w:r w:rsidRPr="009C1B7C">
        <w:rPr>
          <w:rFonts w:ascii="Arial"/>
          <w:sz w:val="14"/>
          <w:lang w:val="en-NZ"/>
        </w:rPr>
        <w:t xml:space="preserve"> for Cancer Research before moving to his current position as a professor of pharmacology and oncology at Johns Hopkins School of Medicine. His main research interest lies in the interface between chemistry, biology and medicine. In particular, his group has been focusing on the use of natural products and existing drugs as molecular probes of various cellular processes and as novel drug leads.</w:t>
      </w:r>
    </w:p>
    <w:p w14:paraId="0F6841C9" w14:textId="2EF4646F" w:rsidR="00AE3E37" w:rsidRDefault="00A9710C">
      <w:pPr>
        <w:spacing w:before="62"/>
        <w:ind w:left="4217" w:right="4235"/>
        <w:jc w:val="center"/>
        <w:rPr>
          <w:rFonts w:ascii="Arial"/>
          <w:sz w:val="14"/>
        </w:rPr>
      </w:pPr>
      <w:r>
        <w:rPr>
          <w:rFonts w:ascii="Arial"/>
          <w:sz w:val="14"/>
        </w:rPr>
        <w:t xml:space="preserve">Email: </w:t>
      </w:r>
      <w:proofErr w:type="spellStart"/>
      <w:r w:rsidR="009C1B7C">
        <w:rPr>
          <w:rStyle w:val="Hyperlink"/>
          <w:rFonts w:ascii="Arial"/>
          <w:sz w:val="14"/>
        </w:rPr>
        <w:t>joliu</w:t>
      </w:r>
      <w:proofErr w:type="spellEnd"/>
      <w:r w:rsidR="009C1B7C">
        <w:rPr>
          <w:rStyle w:val="Hyperlink"/>
          <w:rFonts w:ascii="Arial"/>
          <w:sz w:val="14"/>
        </w:rPr>
        <w:t>(at)jhu.edu</w:t>
      </w:r>
    </w:p>
    <w:p w14:paraId="2DB06AB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007DCD1" wp14:editId="58AF249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2B58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63FA3515" w14:textId="77777777" w:rsidR="00AE3E37" w:rsidRDefault="00AE3E37">
      <w:pPr>
        <w:pStyle w:val="BodyText"/>
        <w:rPr>
          <w:rFonts w:ascii="Arial"/>
          <w:sz w:val="20"/>
        </w:rPr>
      </w:pPr>
    </w:p>
    <w:p w14:paraId="10D36197" w14:textId="77777777" w:rsidR="00AE3E37" w:rsidRDefault="00AE3E37">
      <w:pPr>
        <w:pStyle w:val="BodyText"/>
        <w:rPr>
          <w:rFonts w:ascii="Arial"/>
          <w:sz w:val="20"/>
        </w:rPr>
      </w:pPr>
    </w:p>
    <w:p w14:paraId="1853941B" w14:textId="77777777" w:rsidR="00AE3E37" w:rsidRDefault="00AE3E37">
      <w:pPr>
        <w:pStyle w:val="BodyText"/>
        <w:spacing w:before="7"/>
        <w:rPr>
          <w:rFonts w:ascii="Arial"/>
          <w:sz w:val="29"/>
        </w:rPr>
      </w:pPr>
    </w:p>
    <w:p w14:paraId="2955B791" w14:textId="381E83A5" w:rsidR="00AE3E37" w:rsidRPr="00192ACF" w:rsidRDefault="00A9710C" w:rsidP="00192ACF">
      <w:pPr>
        <w:spacing w:before="39"/>
        <w:ind w:left="100"/>
        <w:rPr>
          <w:rFonts w:ascii="Minion Pro"/>
          <w:b/>
          <w:sz w:val="20"/>
        </w:rPr>
        <w:sectPr w:rsidR="00AE3E37" w:rsidRPr="00192ACF">
          <w:type w:val="continuous"/>
          <w:pgSz w:w="11910" w:h="16840"/>
          <w:pgMar w:top="1740" w:right="600" w:bottom="840" w:left="620" w:header="720" w:footer="720" w:gutter="0"/>
          <w:cols w:space="720"/>
        </w:sectPr>
      </w:pPr>
      <w:r w:rsidRPr="00B21A57">
        <w:rPr>
          <w:rFonts w:ascii="Minion Pro"/>
          <w:b/>
          <w:sz w:val="20"/>
        </w:rPr>
        <w:t>Notes/Comment</w:t>
      </w:r>
      <w:bookmarkStart w:id="0" w:name="_GoBack"/>
      <w:bookmarkEnd w:id="0"/>
    </w:p>
    <w:p w14:paraId="587011C3" w14:textId="77777777" w:rsidR="00AE3E37" w:rsidRDefault="00AE3E37" w:rsidP="00192ACF">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0C253" w14:textId="77777777" w:rsidR="00095BFC" w:rsidRDefault="00095BFC">
      <w:r>
        <w:separator/>
      </w:r>
    </w:p>
  </w:endnote>
  <w:endnote w:type="continuationSeparator" w:id="0">
    <w:p w14:paraId="67C1F226" w14:textId="77777777" w:rsidR="00095BFC" w:rsidRDefault="00095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4D"/>
    <w:family w:val="swiss"/>
    <w:pitch w:val="variable"/>
    <w:sig w:usb0="00000003" w:usb1="00000000" w:usb2="00000000" w:usb3="00000000" w:csb0="00000003" w:csb1="00000000"/>
  </w:font>
  <w:font w:name="Minion Pro">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84CD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3AB825A" wp14:editId="55B4975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3015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D6CDC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B825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1883015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D6CDC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C1F3DAD" wp14:editId="258DD17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373A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9937A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F3DA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3BA373A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9937A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CAA98BA" wp14:editId="47B1FC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CE1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5B6D7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A98B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168CE1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5B6D7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B015D" w14:textId="77777777" w:rsidR="00095BFC" w:rsidRDefault="00095BFC">
      <w:r>
        <w:separator/>
      </w:r>
    </w:p>
  </w:footnote>
  <w:footnote w:type="continuationSeparator" w:id="0">
    <w:p w14:paraId="56CABF0B" w14:textId="77777777" w:rsidR="00095BFC" w:rsidRDefault="00095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D279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8983BC" wp14:editId="418F7E7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2285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8983B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1222285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8F46E48" wp14:editId="1437971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CC7A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33F2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46E4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7E6CC7A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33F2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5BFC"/>
    <w:rsid w:val="000E2911"/>
    <w:rsid w:val="001263DF"/>
    <w:rsid w:val="00192ACF"/>
    <w:rsid w:val="00292ED9"/>
    <w:rsid w:val="003E1E3A"/>
    <w:rsid w:val="00404E5B"/>
    <w:rsid w:val="00414F7B"/>
    <w:rsid w:val="004355DC"/>
    <w:rsid w:val="004749B4"/>
    <w:rsid w:val="00494130"/>
    <w:rsid w:val="004F3523"/>
    <w:rsid w:val="005973B9"/>
    <w:rsid w:val="005B3A56"/>
    <w:rsid w:val="006060CE"/>
    <w:rsid w:val="0063497F"/>
    <w:rsid w:val="00842AF2"/>
    <w:rsid w:val="00873DF0"/>
    <w:rsid w:val="008756E6"/>
    <w:rsid w:val="009B2D44"/>
    <w:rsid w:val="009C1B7C"/>
    <w:rsid w:val="009C6E7F"/>
    <w:rsid w:val="00A07E82"/>
    <w:rsid w:val="00A9710C"/>
    <w:rsid w:val="00AE3E37"/>
    <w:rsid w:val="00B21A57"/>
    <w:rsid w:val="00C33602"/>
    <w:rsid w:val="00CD6F55"/>
    <w:rsid w:val="00DE3104"/>
    <w:rsid w:val="00F339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97807D"/>
  <w15:docId w15:val="{FF7DC004-9EA6-1C4D-842D-6B71032C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9C1B7C"/>
    <w:rPr>
      <w:color w:val="800080" w:themeColor="followedHyperlink"/>
      <w:u w:val="single"/>
    </w:rPr>
  </w:style>
  <w:style w:type="character" w:styleId="UnresolvedMention">
    <w:name w:val="Unresolved Mention"/>
    <w:basedOn w:val="DefaultParagraphFont"/>
    <w:uiPriority w:val="99"/>
    <w:semiHidden/>
    <w:unhideWhenUsed/>
    <w:rsid w:val="00842A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JOL</cp:lastModifiedBy>
  <cp:revision>2</cp:revision>
  <dcterms:created xsi:type="dcterms:W3CDTF">2018-07-10T15:15:00Z</dcterms:created>
  <dcterms:modified xsi:type="dcterms:W3CDTF">2018-07-10T15:15:00Z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