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D83" w:rsidRDefault="00E16D83" w:rsidP="00494130">
      <w:pPr>
        <w:pStyle w:val="Heading1"/>
        <w:spacing w:before="170"/>
        <w:ind w:left="0"/>
      </w:pPr>
      <w:bookmarkStart w:id="0" w:name="_GoBack"/>
      <w:bookmarkEnd w:id="0"/>
      <w:r w:rsidRPr="00467389">
        <w:rPr>
          <w:color w:val="337AB7"/>
        </w:rPr>
        <w:t>O</w:t>
      </w:r>
      <w:r>
        <w:rPr>
          <w:color w:val="337AB7"/>
        </w:rPr>
        <w:t>ptimization of cilostazol crystal habit by impinging jet crystallization</w:t>
      </w:r>
    </w:p>
    <w:p w:rsidR="00E16D83" w:rsidRPr="00467389" w:rsidRDefault="00E16D83" w:rsidP="005973B9">
      <w:pPr>
        <w:pStyle w:val="BodyText"/>
        <w:spacing w:before="73" w:line="198" w:lineRule="exact"/>
        <w:ind w:left="100" w:right="5987"/>
        <w:rPr>
          <w:rFonts w:ascii="Arial" w:eastAsia="Times New Roman"/>
          <w:lang w:val="en-GB"/>
        </w:rPr>
      </w:pPr>
      <w:r w:rsidRPr="00467389">
        <w:rPr>
          <w:rFonts w:ascii="Arial" w:eastAsia="Times New Roman"/>
          <w:lang w:val="en-GB"/>
        </w:rPr>
        <w:t>T</w:t>
      </w:r>
      <w:r>
        <w:rPr>
          <w:rFonts w:ascii="Arial" w:eastAsia="Times New Roman"/>
          <w:lang w:val="en-GB"/>
        </w:rPr>
        <w:t>i</w:t>
      </w:r>
      <w:r w:rsidRPr="00467389">
        <w:rPr>
          <w:rFonts w:ascii="Arial" w:eastAsia="Times New Roman"/>
          <w:lang w:val="en-GB"/>
        </w:rPr>
        <w:t>mea Tari, Pharm.D., University of Szeged, Hungary</w:t>
      </w:r>
    </w:p>
    <w:p w:rsidR="00E16D83" w:rsidRPr="00467389" w:rsidRDefault="00E16D83" w:rsidP="005973B9">
      <w:pPr>
        <w:pStyle w:val="BodyText"/>
        <w:spacing w:before="73" w:line="198" w:lineRule="exact"/>
        <w:ind w:left="100" w:right="5987"/>
        <w:rPr>
          <w:rFonts w:ascii="Arial"/>
          <w:lang w:val="en-GB"/>
        </w:rPr>
      </w:pPr>
      <w:r w:rsidRPr="00467389">
        <w:rPr>
          <w:rFonts w:ascii="Arial" w:eastAsia="Times New Roman"/>
          <w:lang w:val="en-GB"/>
        </w:rPr>
        <w:t>Zolta</w:t>
      </w:r>
      <w:r>
        <w:rPr>
          <w:rFonts w:ascii="Arial" w:eastAsia="Times New Roman"/>
          <w:lang w:val="en-GB"/>
        </w:rPr>
        <w:t>n Aigner, PhD</w:t>
      </w:r>
      <w:r w:rsidRPr="00467389">
        <w:rPr>
          <w:rFonts w:ascii="Arial" w:eastAsia="Times New Roman"/>
          <w:lang w:val="en-GB"/>
        </w:rPr>
        <w:t>, University of Szeged, Hungary</w:t>
      </w:r>
    </w:p>
    <w:p w:rsidR="00E16D83" w:rsidRPr="00467389" w:rsidRDefault="00E16D83">
      <w:pPr>
        <w:pStyle w:val="BodyText"/>
        <w:rPr>
          <w:rFonts w:ascii="Arial"/>
          <w:sz w:val="20"/>
          <w:lang w:val="en-GB"/>
        </w:rPr>
      </w:pPr>
    </w:p>
    <w:p w:rsidR="00E16D83" w:rsidRPr="00467389" w:rsidRDefault="00E16D83">
      <w:pPr>
        <w:pStyle w:val="BodyText"/>
        <w:spacing w:before="3"/>
        <w:rPr>
          <w:rFonts w:ascii="Arial"/>
          <w:sz w:val="21"/>
          <w:lang w:val="en-GB"/>
        </w:rPr>
      </w:pPr>
    </w:p>
    <w:p w:rsidR="00E16D83" w:rsidRPr="00467389" w:rsidRDefault="00E16D83">
      <w:pPr>
        <w:rPr>
          <w:rFonts w:ascii="Arial"/>
          <w:sz w:val="21"/>
          <w:lang w:val="en-GB"/>
        </w:rPr>
        <w:sectPr w:rsidR="00E16D83" w:rsidRPr="00467389">
          <w:headerReference w:type="default" r:id="rId7"/>
          <w:footerReference w:type="default" r:id="rId8"/>
          <w:type w:val="continuous"/>
          <w:pgSz w:w="11910" w:h="16840"/>
          <w:pgMar w:top="1740" w:right="600" w:bottom="840" w:left="620" w:header="541" w:footer="642" w:gutter="0"/>
          <w:cols w:space="708"/>
        </w:sectPr>
      </w:pPr>
    </w:p>
    <w:p w:rsidR="00E16D83" w:rsidRDefault="00E16D83">
      <w:pPr>
        <w:pStyle w:val="Heading3"/>
        <w:spacing w:before="147"/>
        <w:jc w:val="both"/>
      </w:pPr>
      <w:r>
        <w:rPr>
          <w:color w:val="BF5A14"/>
        </w:rPr>
        <w:t>Abstract</w:t>
      </w:r>
    </w:p>
    <w:p w:rsidR="00E16D83" w:rsidRPr="005357EC" w:rsidRDefault="00E16D83" w:rsidP="005357EC">
      <w:pPr>
        <w:pStyle w:val="Heading3"/>
        <w:spacing w:before="74" w:line="281" w:lineRule="auto"/>
        <w:ind w:left="102"/>
        <w:jc w:val="both"/>
        <w:rPr>
          <w:rFonts w:ascii="Tw Cen MT" w:hAnsi="Tw Cen MT"/>
          <w:b w:val="0"/>
          <w:sz w:val="18"/>
          <w:szCs w:val="18"/>
        </w:rPr>
      </w:pPr>
      <w:r w:rsidRPr="005357EC">
        <w:rPr>
          <w:rFonts w:ascii="Tw Cen MT" w:hAnsi="Tw Cen MT"/>
          <w:b w:val="0"/>
          <w:sz w:val="18"/>
          <w:szCs w:val="18"/>
        </w:rPr>
        <w:t>The crystal habit influences the processability of active agents even in pharmaceutical, food or cosmetic industry. The small average particle size, narrow particle size distribution (PSD) and suitable crystal shape of the poorly water-soluble drugs are very important factors in the field of formulation [1; 2]. Cilostazol belongs to the BCS Class II group. Due to its poor aqueous solubility and oral bioavailability, the therapeutic usage of cilostazol is limited. Therefore several works have attempted to increase these properties [3–5]. In the present work our purpose was to produce cilostazol crystals with small average particle size, besides suitable roundness, narrow PSD and stable polymorphic form with impinging jet crystallization. The effect of various post-mixing times and temperature differences were studied by means of a full factorial design. The results were compared with the original ground material and the products of conventional crystallization methods.</w:t>
      </w:r>
    </w:p>
    <w:p w:rsidR="00E16D83" w:rsidRDefault="00E16D83" w:rsidP="000423E6">
      <w:pPr>
        <w:pStyle w:val="Heading3"/>
        <w:spacing w:before="74" w:line="281" w:lineRule="auto"/>
        <w:ind w:left="102"/>
        <w:jc w:val="both"/>
        <w:rPr>
          <w:color w:val="BF5A14"/>
        </w:rPr>
      </w:pPr>
      <w:r w:rsidRPr="005357EC">
        <w:rPr>
          <w:rFonts w:ascii="Tw Cen MT" w:hAnsi="Tw Cen MT"/>
          <w:b w:val="0"/>
          <w:sz w:val="18"/>
          <w:szCs w:val="18"/>
        </w:rPr>
        <w:t>The products were characterized by several analytical methods: morphology – light microscopic image analysis system, scanning electron microscope, laser diffraction particle size analyser; polymorhism – differential scanning calorimetry, powder X-ray diffraction; residual solvent content – headspace gas chromatography; dissolution rate – Ph.Eur. dissolution apparatus. The results were analysed by means of a statistical program.</w:t>
      </w:r>
      <w:r w:rsidRPr="005357EC">
        <w:rPr>
          <w:rFonts w:ascii="Tw Cen MT" w:hAnsi="Tw Cen MT"/>
          <w:sz w:val="18"/>
          <w:szCs w:val="18"/>
        </w:rPr>
        <w:t xml:space="preserve"> </w:t>
      </w:r>
      <w:r w:rsidRPr="005357EC">
        <w:rPr>
          <w:rFonts w:ascii="Tw Cen MT" w:hAnsi="Tw Cen MT"/>
          <w:b w:val="0"/>
          <w:sz w:val="18"/>
          <w:szCs w:val="18"/>
        </w:rPr>
        <w:t>It was observed that impinging jet crystallization is very effective and reproducible method for reducing particle size of cilostazol. Post-mixing time and temperature difference are significant factors in case of habit modification. The PSD was appropriate, the average particle size was significantly smaller (d(0.5)=3–5µm) and more uniform compared to the original ground material (d(0.5)=15–25µm) (Fig.1). This method resulted stable polymorphic form with lower residual organic solvent quantity, also enhanced the dissolution rate in contrast to the products of conventional crystallization methods. Therefore impinging jet method is suitable for optimizing the crystal habit of poorly water-soluble drugs, if the parameters of crystallization are chosen correctly.</w:t>
      </w:r>
      <w:r>
        <w:rPr>
          <w:b w:val="0"/>
        </w:rPr>
        <w:br w:type="column"/>
      </w:r>
      <w:r>
        <w:rPr>
          <w:color w:val="BF5A14"/>
        </w:rPr>
        <w:t>Image</w:t>
      </w:r>
    </w:p>
    <w:p w:rsidR="00E16D83" w:rsidRPr="00A8059B" w:rsidRDefault="00E16D83" w:rsidP="00BC509D">
      <w:pPr>
        <w:pStyle w:val="Heading3"/>
        <w:spacing w:before="74"/>
        <w:rPr>
          <w:color w:val="BF5A14"/>
        </w:rPr>
      </w:pPr>
    </w:p>
    <w:p w:rsidR="00E16D83" w:rsidRDefault="00E16D83">
      <w:pPr>
        <w:pStyle w:val="BodyText"/>
        <w:spacing w:before="2"/>
      </w:pPr>
      <w:r w:rsidRPr="00641F2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25pt;height:63pt">
            <v:imagedata r:id="rId9" o:title=""/>
          </v:shape>
        </w:pict>
      </w:r>
    </w:p>
    <w:p w:rsidR="00E16D83" w:rsidRPr="000423E6" w:rsidRDefault="00E16D83" w:rsidP="00A8059B">
      <w:pPr>
        <w:pStyle w:val="BodyText"/>
        <w:spacing w:before="60"/>
        <w:rPr>
          <w:rFonts w:ascii="Calibri" w:hAnsi="Calibri"/>
          <w:b/>
          <w:sz w:val="16"/>
        </w:rPr>
      </w:pPr>
      <w:r w:rsidRPr="000423E6">
        <w:rPr>
          <w:rFonts w:ascii="Calibri" w:hAnsi="Calibri"/>
          <w:b/>
          <w:sz w:val="16"/>
        </w:rPr>
        <w:t xml:space="preserve">Figure 1: </w:t>
      </w:r>
      <w:r w:rsidRPr="000423E6">
        <w:rPr>
          <w:rFonts w:ascii="Calibri" w:hAnsi="Calibri"/>
          <w:sz w:val="16"/>
        </w:rPr>
        <w:t>SEM images of cilostazol samples. A: original ground material (1000x); B: product of antisolvent impinging jet crystallization (10000x); C: product of antisolvent impinging jet crystallization combined with cooling (10000x).</w:t>
      </w:r>
    </w:p>
    <w:p w:rsidR="00E16D83" w:rsidRDefault="00E16D83"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w:t>
      </w:r>
    </w:p>
    <w:p w:rsidR="00E16D83" w:rsidRPr="008F21AE" w:rsidRDefault="00E16D83" w:rsidP="00FB2F3E">
      <w:pPr>
        <w:widowControl/>
        <w:numPr>
          <w:ilvl w:val="0"/>
          <w:numId w:val="3"/>
        </w:numPr>
        <w:spacing w:before="90" w:line="216" w:lineRule="exact"/>
        <w:ind w:left="386" w:right="136"/>
        <w:jc w:val="both"/>
        <w:rPr>
          <w:rFonts w:ascii="Calibri" w:hAnsi="Calibri"/>
          <w:sz w:val="18"/>
          <w:szCs w:val="18"/>
        </w:rPr>
      </w:pPr>
      <w:r w:rsidRPr="008F21AE">
        <w:rPr>
          <w:rFonts w:ascii="Calibri" w:hAnsi="Calibri"/>
          <w:sz w:val="18"/>
          <w:szCs w:val="18"/>
        </w:rPr>
        <w:t>Tari T, Fekete Z, Szabó-Révész P, Aign</w:t>
      </w:r>
      <w:r>
        <w:rPr>
          <w:rFonts w:ascii="Calibri" w:hAnsi="Calibri"/>
          <w:sz w:val="18"/>
          <w:szCs w:val="18"/>
        </w:rPr>
        <w:t>er Z (2015)</w:t>
      </w:r>
      <w:r w:rsidRPr="008F21AE">
        <w:rPr>
          <w:rFonts w:ascii="Calibri" w:hAnsi="Calibri"/>
          <w:sz w:val="18"/>
          <w:szCs w:val="18"/>
        </w:rPr>
        <w:t xml:space="preserve"> Reduction of glycine particle size by impinging jet crystallization</w:t>
      </w:r>
      <w:r>
        <w:rPr>
          <w:rFonts w:ascii="Calibri" w:hAnsi="Calibri"/>
          <w:sz w:val="18"/>
          <w:szCs w:val="18"/>
        </w:rPr>
        <w:t xml:space="preserve">: </w:t>
      </w:r>
      <w:r w:rsidRPr="008F21AE">
        <w:rPr>
          <w:rFonts w:ascii="Calibri" w:hAnsi="Calibri"/>
          <w:sz w:val="18"/>
          <w:szCs w:val="18"/>
        </w:rPr>
        <w:t>Int. J. Pharm. 478:96</w:t>
      </w:r>
      <w:r w:rsidRPr="008F21AE">
        <w:rPr>
          <w:rFonts w:ascii="Calibri" w:eastAsia="Batang" w:hAnsi="Calibri"/>
          <w:sz w:val="18"/>
          <w:szCs w:val="18"/>
          <w:lang w:eastAsia="ko-KR"/>
        </w:rPr>
        <w:t>–</w:t>
      </w:r>
      <w:r w:rsidRPr="008F21AE">
        <w:rPr>
          <w:rFonts w:ascii="Calibri" w:hAnsi="Calibri"/>
          <w:sz w:val="18"/>
          <w:szCs w:val="18"/>
        </w:rPr>
        <w:t>102.</w:t>
      </w:r>
    </w:p>
    <w:p w:rsidR="00E16D83" w:rsidRPr="003E6F14" w:rsidRDefault="00E16D83" w:rsidP="00FB2F3E">
      <w:pPr>
        <w:widowControl/>
        <w:numPr>
          <w:ilvl w:val="0"/>
          <w:numId w:val="3"/>
        </w:numPr>
        <w:spacing w:before="90" w:line="216" w:lineRule="exact"/>
        <w:ind w:left="386" w:right="136"/>
        <w:jc w:val="both"/>
        <w:rPr>
          <w:rFonts w:ascii="Calibri" w:hAnsi="Calibri"/>
          <w:sz w:val="18"/>
          <w:szCs w:val="18"/>
          <w:lang w:val="en-GB"/>
        </w:rPr>
      </w:pPr>
      <w:r w:rsidRPr="008F21AE">
        <w:rPr>
          <w:rFonts w:ascii="Calibri" w:eastAsia="Batang" w:hAnsi="Calibri"/>
          <w:sz w:val="18"/>
          <w:szCs w:val="18"/>
          <w:lang w:val="en-GB" w:eastAsia="ko-KR"/>
        </w:rPr>
        <w:t>Su C-S, Liao C</w:t>
      </w:r>
      <w:r>
        <w:rPr>
          <w:rFonts w:ascii="Calibri" w:eastAsia="Batang" w:hAnsi="Calibri"/>
          <w:sz w:val="18"/>
          <w:szCs w:val="18"/>
          <w:lang w:val="en-GB" w:eastAsia="ko-KR"/>
        </w:rPr>
        <w:t>-Y, Jheng W</w:t>
      </w:r>
      <w:r w:rsidRPr="008F21AE">
        <w:rPr>
          <w:rFonts w:ascii="Calibri" w:eastAsia="Batang" w:hAnsi="Calibri"/>
          <w:sz w:val="18"/>
          <w:szCs w:val="18"/>
          <w:lang w:val="en-GB" w:eastAsia="ko-KR"/>
        </w:rPr>
        <w:t>-D</w:t>
      </w:r>
      <w:r>
        <w:rPr>
          <w:rFonts w:ascii="Calibri" w:eastAsia="Batang" w:hAnsi="Calibri"/>
          <w:sz w:val="18"/>
          <w:szCs w:val="18"/>
          <w:lang w:val="en-GB" w:eastAsia="ko-KR"/>
        </w:rPr>
        <w:t xml:space="preserve"> (2015)</w:t>
      </w:r>
      <w:r w:rsidRPr="008F21AE">
        <w:rPr>
          <w:rFonts w:ascii="Calibri" w:eastAsia="Batang" w:hAnsi="Calibri"/>
          <w:sz w:val="18"/>
          <w:szCs w:val="18"/>
          <w:lang w:val="en-GB" w:eastAsia="ko-KR"/>
        </w:rPr>
        <w:t xml:space="preserve"> </w:t>
      </w:r>
      <w:r>
        <w:rPr>
          <w:rFonts w:ascii="Calibri" w:eastAsia="Batang" w:hAnsi="Calibri"/>
          <w:sz w:val="18"/>
          <w:szCs w:val="18"/>
          <w:lang w:val="en-GB" w:eastAsia="ko-KR"/>
        </w:rPr>
        <w:t>Particle size control and crystal h</w:t>
      </w:r>
      <w:r w:rsidRPr="003E6F14">
        <w:rPr>
          <w:rFonts w:ascii="Calibri" w:eastAsia="Batang" w:hAnsi="Calibri"/>
          <w:sz w:val="18"/>
          <w:szCs w:val="18"/>
          <w:lang w:val="en-GB" w:eastAsia="ko-KR"/>
        </w:rPr>
        <w:t>abit</w:t>
      </w:r>
      <w:r>
        <w:t xml:space="preserve"> </w:t>
      </w:r>
      <w:r>
        <w:rPr>
          <w:rFonts w:ascii="Calibri" w:eastAsia="Batang" w:hAnsi="Calibri"/>
          <w:sz w:val="18"/>
          <w:szCs w:val="18"/>
          <w:lang w:val="en-GB" w:eastAsia="ko-KR"/>
        </w:rPr>
        <w:t>modification of phenacetin using u</w:t>
      </w:r>
      <w:r w:rsidRPr="003E6F14">
        <w:rPr>
          <w:rFonts w:ascii="Calibri" w:eastAsia="Batang" w:hAnsi="Calibri"/>
          <w:sz w:val="18"/>
          <w:szCs w:val="18"/>
          <w:lang w:val="en-GB" w:eastAsia="ko-KR"/>
        </w:rPr>
        <w:t>ltrasonic</w:t>
      </w:r>
      <w:r w:rsidRPr="003E6F14">
        <w:t xml:space="preserve"> </w:t>
      </w:r>
      <w:r>
        <w:rPr>
          <w:rFonts w:ascii="Calibri" w:eastAsia="Batang" w:hAnsi="Calibri"/>
          <w:sz w:val="18"/>
          <w:szCs w:val="18"/>
          <w:lang w:val="en-GB" w:eastAsia="ko-KR"/>
        </w:rPr>
        <w:t>c</w:t>
      </w:r>
      <w:r w:rsidRPr="003E6F14">
        <w:rPr>
          <w:rFonts w:ascii="Calibri" w:eastAsia="Batang" w:hAnsi="Calibri"/>
          <w:sz w:val="18"/>
          <w:szCs w:val="18"/>
          <w:lang w:val="en-GB" w:eastAsia="ko-KR"/>
        </w:rPr>
        <w:t>rystallization</w:t>
      </w:r>
      <w:r>
        <w:rPr>
          <w:rFonts w:ascii="Calibri" w:eastAsia="Batang" w:hAnsi="Calibri"/>
          <w:sz w:val="18"/>
          <w:szCs w:val="18"/>
          <w:lang w:val="en-GB" w:eastAsia="ko-KR"/>
        </w:rPr>
        <w:t xml:space="preserve">: </w:t>
      </w:r>
      <w:r w:rsidRPr="008F21AE">
        <w:rPr>
          <w:rFonts w:ascii="Calibri" w:eastAsia="Batang" w:hAnsi="Calibri"/>
          <w:sz w:val="18"/>
          <w:szCs w:val="18"/>
          <w:lang w:val="en-GB" w:eastAsia="ko-KR"/>
        </w:rPr>
        <w:t xml:space="preserve">Chem. Eng. </w:t>
      </w:r>
      <w:r w:rsidRPr="003E6F14">
        <w:rPr>
          <w:rFonts w:ascii="Calibri" w:eastAsia="Batang" w:hAnsi="Calibri"/>
          <w:sz w:val="18"/>
          <w:szCs w:val="18"/>
          <w:lang w:val="en-GB" w:eastAsia="ko-KR"/>
        </w:rPr>
        <w:t>Technol., 38</w:t>
      </w:r>
      <w:r>
        <w:rPr>
          <w:rFonts w:ascii="Calibri" w:eastAsia="Batang" w:hAnsi="Calibri"/>
          <w:sz w:val="18"/>
          <w:szCs w:val="18"/>
          <w:lang w:val="en-GB" w:eastAsia="ko-KR"/>
        </w:rPr>
        <w:t>:</w:t>
      </w:r>
      <w:r w:rsidRPr="003E6F14">
        <w:rPr>
          <w:rFonts w:ascii="Calibri" w:eastAsia="Batang" w:hAnsi="Calibri"/>
          <w:sz w:val="18"/>
          <w:szCs w:val="18"/>
          <w:lang w:val="en-GB" w:eastAsia="ko-KR"/>
        </w:rPr>
        <w:t>181–186.</w:t>
      </w:r>
    </w:p>
    <w:p w:rsidR="00E16D83" w:rsidRPr="008F21AE" w:rsidRDefault="00E16D83" w:rsidP="00FB2F3E">
      <w:pPr>
        <w:widowControl/>
        <w:numPr>
          <w:ilvl w:val="0"/>
          <w:numId w:val="3"/>
        </w:numPr>
        <w:spacing w:before="90" w:line="216" w:lineRule="exact"/>
        <w:ind w:left="386" w:right="136"/>
        <w:jc w:val="both"/>
        <w:rPr>
          <w:rFonts w:ascii="Calibri" w:hAnsi="Calibri"/>
          <w:sz w:val="18"/>
          <w:szCs w:val="18"/>
          <w:lang w:val="fr-FR"/>
        </w:rPr>
      </w:pPr>
      <w:r w:rsidRPr="000D3368">
        <w:rPr>
          <w:rFonts w:ascii="Calibri" w:hAnsi="Calibri"/>
          <w:sz w:val="18"/>
          <w:szCs w:val="18"/>
          <w:lang w:val="en-GB"/>
        </w:rPr>
        <w:t xml:space="preserve">Mustapha O, Kim K S, Shafique S, Kim D S, Jin S G, Seo Y G, Youn Y S, Oh K T, Lee B-J, Park Y J, Yong C S, Kim J O, Choi H-G (2017) Development of novel cilostazol–loaded solid SNEDDS using a SPGmembrane emulsification technique: Physicochemical characterization and in vivo evaluation: Colloid. </w:t>
      </w:r>
      <w:r w:rsidRPr="008F21AE">
        <w:rPr>
          <w:rFonts w:ascii="Calibri" w:hAnsi="Calibri"/>
          <w:sz w:val="18"/>
          <w:szCs w:val="18"/>
          <w:lang w:val="fr-FR"/>
        </w:rPr>
        <w:t>Surface. B 150</w:t>
      </w:r>
      <w:r>
        <w:rPr>
          <w:rFonts w:ascii="Calibri" w:hAnsi="Calibri"/>
          <w:sz w:val="18"/>
          <w:szCs w:val="18"/>
          <w:lang w:val="fr-FR"/>
        </w:rPr>
        <w:t>:216–222</w:t>
      </w:r>
      <w:r w:rsidRPr="008F21AE">
        <w:rPr>
          <w:rFonts w:ascii="Calibri" w:hAnsi="Calibri"/>
          <w:sz w:val="18"/>
          <w:szCs w:val="18"/>
          <w:lang w:val="fr-FR"/>
        </w:rPr>
        <w:t>.</w:t>
      </w:r>
    </w:p>
    <w:p w:rsidR="00E16D83" w:rsidRPr="003E6F14" w:rsidRDefault="00E16D83" w:rsidP="00FB2F3E">
      <w:pPr>
        <w:widowControl/>
        <w:numPr>
          <w:ilvl w:val="0"/>
          <w:numId w:val="3"/>
        </w:numPr>
        <w:spacing w:before="90" w:line="216" w:lineRule="exact"/>
        <w:ind w:left="386" w:right="136"/>
        <w:jc w:val="both"/>
        <w:rPr>
          <w:rFonts w:ascii="Calibri" w:hAnsi="Calibri"/>
          <w:sz w:val="18"/>
          <w:szCs w:val="18"/>
          <w:lang w:val="en-GB"/>
        </w:rPr>
      </w:pPr>
      <w:r w:rsidRPr="008F21AE">
        <w:rPr>
          <w:rFonts w:ascii="Calibri" w:hAnsi="Calibri"/>
          <w:sz w:val="18"/>
          <w:szCs w:val="18"/>
          <w:lang w:val="en-GB"/>
        </w:rPr>
        <w:t>Kim M-S, Lee S</w:t>
      </w:r>
      <w:r>
        <w:rPr>
          <w:rFonts w:ascii="Calibri" w:hAnsi="Calibri"/>
          <w:sz w:val="18"/>
          <w:szCs w:val="18"/>
          <w:lang w:val="en-GB"/>
        </w:rPr>
        <w:t>, Park J-S, Woo J-S, Hwang S-J</w:t>
      </w:r>
      <w:r w:rsidRPr="008F21AE">
        <w:rPr>
          <w:rFonts w:ascii="Calibri" w:hAnsi="Calibri"/>
          <w:sz w:val="18"/>
          <w:szCs w:val="18"/>
          <w:lang w:val="en-GB"/>
        </w:rPr>
        <w:t xml:space="preserve"> (2007) </w:t>
      </w:r>
      <w:r w:rsidRPr="003E6F14">
        <w:rPr>
          <w:rFonts w:ascii="Calibri" w:hAnsi="Calibri"/>
          <w:sz w:val="18"/>
          <w:szCs w:val="18"/>
          <w:lang w:val="en-GB"/>
        </w:rPr>
        <w:t>Micronization of cilostazol using supercritical antisolvent (SAS) process:</w:t>
      </w:r>
      <w:r w:rsidRPr="003E6F14">
        <w:t xml:space="preserve"> </w:t>
      </w:r>
      <w:r w:rsidRPr="003E6F14">
        <w:rPr>
          <w:rFonts w:ascii="Calibri" w:hAnsi="Calibri"/>
          <w:sz w:val="18"/>
          <w:szCs w:val="18"/>
          <w:lang w:val="en-GB"/>
        </w:rPr>
        <w:t>Effect of process parameters</w:t>
      </w:r>
      <w:r>
        <w:rPr>
          <w:rFonts w:ascii="Calibri" w:hAnsi="Calibri"/>
          <w:sz w:val="18"/>
          <w:szCs w:val="18"/>
          <w:lang w:val="en-GB"/>
        </w:rPr>
        <w:t xml:space="preserve">: </w:t>
      </w:r>
      <w:r w:rsidRPr="008F21AE">
        <w:rPr>
          <w:rFonts w:ascii="Calibri" w:hAnsi="Calibri"/>
          <w:sz w:val="18"/>
          <w:szCs w:val="18"/>
          <w:lang w:val="en-GB"/>
        </w:rPr>
        <w:t xml:space="preserve">Powder Technol. </w:t>
      </w:r>
      <w:r w:rsidRPr="003E6F14">
        <w:rPr>
          <w:rFonts w:ascii="Calibri" w:hAnsi="Calibri"/>
          <w:sz w:val="18"/>
          <w:szCs w:val="18"/>
          <w:lang w:val="en-GB"/>
        </w:rPr>
        <w:t>177:64–70.</w:t>
      </w:r>
    </w:p>
    <w:p w:rsidR="00E16D83" w:rsidRPr="008F21AE" w:rsidRDefault="00E16D83" w:rsidP="00FB2F3E">
      <w:pPr>
        <w:widowControl/>
        <w:numPr>
          <w:ilvl w:val="0"/>
          <w:numId w:val="3"/>
        </w:numPr>
        <w:spacing w:before="90" w:line="216" w:lineRule="exact"/>
        <w:ind w:left="386" w:right="136"/>
        <w:jc w:val="both"/>
        <w:rPr>
          <w:rFonts w:ascii="Calibri" w:hAnsi="Calibri"/>
          <w:sz w:val="18"/>
          <w:szCs w:val="18"/>
          <w:lang w:val="de-DE"/>
        </w:rPr>
      </w:pPr>
      <w:r w:rsidRPr="008F21AE">
        <w:rPr>
          <w:rFonts w:ascii="Calibri" w:eastAsia="Batang" w:hAnsi="Calibri"/>
          <w:sz w:val="18"/>
          <w:szCs w:val="18"/>
          <w:lang w:val="hu-HU" w:eastAsia="ko-KR"/>
        </w:rPr>
        <w:t>Jinno</w:t>
      </w:r>
      <w:r>
        <w:rPr>
          <w:rFonts w:ascii="Calibri" w:eastAsia="Batang" w:hAnsi="Calibri"/>
          <w:sz w:val="18"/>
          <w:szCs w:val="18"/>
          <w:lang w:val="hu-HU" w:eastAsia="ko-KR"/>
        </w:rPr>
        <w:t xml:space="preserve"> J-I</w:t>
      </w:r>
      <w:r w:rsidRPr="008F21AE">
        <w:rPr>
          <w:rFonts w:ascii="Calibri" w:eastAsia="Batang" w:hAnsi="Calibri"/>
          <w:sz w:val="18"/>
          <w:szCs w:val="18"/>
          <w:lang w:val="hu-HU" w:eastAsia="ko-KR"/>
        </w:rPr>
        <w:t xml:space="preserve">, Kamada </w:t>
      </w:r>
      <w:r>
        <w:rPr>
          <w:rFonts w:ascii="Calibri" w:eastAsia="Batang" w:hAnsi="Calibri"/>
          <w:sz w:val="18"/>
          <w:szCs w:val="18"/>
          <w:lang w:val="hu-HU" w:eastAsia="ko-KR"/>
        </w:rPr>
        <w:t>N</w:t>
      </w:r>
      <w:r w:rsidRPr="008F21AE">
        <w:rPr>
          <w:rFonts w:ascii="Calibri" w:eastAsia="Batang" w:hAnsi="Calibri"/>
          <w:sz w:val="18"/>
          <w:szCs w:val="18"/>
          <w:lang w:val="hu-HU" w:eastAsia="ko-KR"/>
        </w:rPr>
        <w:t>, Miyake</w:t>
      </w:r>
      <w:r>
        <w:rPr>
          <w:rFonts w:ascii="Calibri" w:eastAsia="Batang" w:hAnsi="Calibri"/>
          <w:sz w:val="18"/>
          <w:szCs w:val="18"/>
          <w:lang w:val="hu-HU" w:eastAsia="ko-KR"/>
        </w:rPr>
        <w:t xml:space="preserve"> M</w:t>
      </w:r>
      <w:r w:rsidRPr="008F21AE">
        <w:rPr>
          <w:rFonts w:ascii="Calibri" w:eastAsia="Batang" w:hAnsi="Calibri"/>
          <w:sz w:val="18"/>
          <w:szCs w:val="18"/>
          <w:lang w:val="hu-HU" w:eastAsia="ko-KR"/>
        </w:rPr>
        <w:t xml:space="preserve">, Yamada </w:t>
      </w:r>
      <w:r>
        <w:rPr>
          <w:rFonts w:ascii="Calibri" w:eastAsia="Batang" w:hAnsi="Calibri"/>
          <w:sz w:val="18"/>
          <w:szCs w:val="18"/>
          <w:lang w:val="hu-HU" w:eastAsia="ko-KR"/>
        </w:rPr>
        <w:t>K</w:t>
      </w:r>
      <w:r w:rsidRPr="008F21AE">
        <w:rPr>
          <w:rFonts w:ascii="Calibri" w:eastAsia="Batang" w:hAnsi="Calibri"/>
          <w:sz w:val="18"/>
          <w:szCs w:val="18"/>
          <w:lang w:val="hu-HU" w:eastAsia="ko-KR"/>
        </w:rPr>
        <w:t>, Mukai</w:t>
      </w:r>
      <w:r>
        <w:rPr>
          <w:rFonts w:ascii="Calibri" w:eastAsia="Batang" w:hAnsi="Calibri"/>
          <w:sz w:val="18"/>
          <w:szCs w:val="18"/>
          <w:lang w:val="hu-HU" w:eastAsia="ko-KR"/>
        </w:rPr>
        <w:t xml:space="preserve"> T</w:t>
      </w:r>
      <w:r w:rsidRPr="008F21AE">
        <w:rPr>
          <w:rFonts w:ascii="Calibri" w:eastAsia="Batang" w:hAnsi="Calibri"/>
          <w:sz w:val="18"/>
          <w:szCs w:val="18"/>
          <w:lang w:val="hu-HU" w:eastAsia="ko-KR"/>
        </w:rPr>
        <w:t xml:space="preserve">, Odomi </w:t>
      </w:r>
      <w:r>
        <w:rPr>
          <w:rFonts w:ascii="Calibri" w:eastAsia="Batang" w:hAnsi="Calibri"/>
          <w:sz w:val="18"/>
          <w:szCs w:val="18"/>
          <w:lang w:val="hu-HU" w:eastAsia="ko-KR"/>
        </w:rPr>
        <w:t>M</w:t>
      </w:r>
      <w:r w:rsidRPr="008F21AE">
        <w:rPr>
          <w:rFonts w:ascii="Calibri" w:eastAsia="Batang" w:hAnsi="Calibri"/>
          <w:sz w:val="18"/>
          <w:szCs w:val="18"/>
          <w:lang w:val="hu-HU" w:eastAsia="ko-KR"/>
        </w:rPr>
        <w:t>, Toguchi</w:t>
      </w:r>
      <w:r>
        <w:rPr>
          <w:rFonts w:ascii="Calibri" w:eastAsia="Batang" w:hAnsi="Calibri"/>
          <w:sz w:val="18"/>
          <w:szCs w:val="18"/>
          <w:lang w:val="hu-HU" w:eastAsia="ko-KR"/>
        </w:rPr>
        <w:t xml:space="preserve"> H</w:t>
      </w:r>
      <w:r w:rsidRPr="008F21AE">
        <w:rPr>
          <w:rFonts w:ascii="Calibri" w:eastAsia="Batang" w:hAnsi="Calibri"/>
          <w:sz w:val="18"/>
          <w:szCs w:val="18"/>
          <w:lang w:val="hu-HU" w:eastAsia="ko-KR"/>
        </w:rPr>
        <w:t>, Liversidge</w:t>
      </w:r>
      <w:r>
        <w:rPr>
          <w:rFonts w:ascii="Calibri" w:eastAsia="Batang" w:hAnsi="Calibri"/>
          <w:sz w:val="18"/>
          <w:szCs w:val="18"/>
          <w:lang w:val="hu-HU" w:eastAsia="ko-KR"/>
        </w:rPr>
        <w:t xml:space="preserve"> G G</w:t>
      </w:r>
      <w:r w:rsidRPr="008F21AE">
        <w:rPr>
          <w:rFonts w:ascii="Calibri" w:eastAsia="Batang" w:hAnsi="Calibri"/>
          <w:sz w:val="18"/>
          <w:szCs w:val="18"/>
          <w:lang w:val="hu-HU" w:eastAsia="ko-KR"/>
        </w:rPr>
        <w:t>, Higaki K, Kimura</w:t>
      </w:r>
      <w:r>
        <w:rPr>
          <w:rFonts w:ascii="Calibri" w:eastAsia="Batang" w:hAnsi="Calibri"/>
          <w:sz w:val="18"/>
          <w:szCs w:val="18"/>
          <w:lang w:val="hu-HU" w:eastAsia="ko-KR"/>
        </w:rPr>
        <w:t xml:space="preserve"> T</w:t>
      </w:r>
      <w:r w:rsidRPr="008F21AE">
        <w:rPr>
          <w:rFonts w:ascii="Calibri" w:eastAsia="Batang" w:hAnsi="Calibri"/>
          <w:sz w:val="18"/>
          <w:szCs w:val="18"/>
          <w:lang w:val="hu-HU" w:eastAsia="ko-KR"/>
        </w:rPr>
        <w:t xml:space="preserve"> </w:t>
      </w:r>
      <w:r>
        <w:rPr>
          <w:rFonts w:ascii="Calibri" w:hAnsi="Calibri"/>
          <w:sz w:val="18"/>
          <w:szCs w:val="18"/>
          <w:lang w:val="hu-HU"/>
        </w:rPr>
        <w:t>J (2006)</w:t>
      </w:r>
      <w:r w:rsidRPr="008F21AE">
        <w:rPr>
          <w:rFonts w:ascii="Calibri" w:hAnsi="Calibri"/>
          <w:sz w:val="18"/>
          <w:szCs w:val="18"/>
          <w:lang w:val="hu-HU"/>
        </w:rPr>
        <w:t xml:space="preserve"> </w:t>
      </w:r>
      <w:r w:rsidRPr="003E6F14">
        <w:rPr>
          <w:rFonts w:ascii="Calibri" w:hAnsi="Calibri"/>
          <w:sz w:val="18"/>
          <w:szCs w:val="18"/>
          <w:lang w:val="hu-HU"/>
        </w:rPr>
        <w:t>Effect of particle size reduction on dissolution and oral absorption of a poorly</w:t>
      </w:r>
      <w:r w:rsidRPr="003E6F14">
        <w:rPr>
          <w:lang w:val="de-DE"/>
        </w:rPr>
        <w:t xml:space="preserve"> </w:t>
      </w:r>
      <w:r w:rsidRPr="003E6F14">
        <w:rPr>
          <w:rFonts w:ascii="Calibri" w:hAnsi="Calibri"/>
          <w:sz w:val="18"/>
          <w:szCs w:val="18"/>
          <w:lang w:val="hu-HU"/>
        </w:rPr>
        <w:t>water-soluble drug, cilostazol, in beagle dogs</w:t>
      </w:r>
      <w:r>
        <w:rPr>
          <w:rFonts w:ascii="Calibri" w:hAnsi="Calibri"/>
          <w:sz w:val="18"/>
          <w:szCs w:val="18"/>
          <w:lang w:val="hu-HU"/>
        </w:rPr>
        <w:t xml:space="preserve">: </w:t>
      </w:r>
      <w:r w:rsidRPr="008F21AE">
        <w:rPr>
          <w:rFonts w:ascii="Calibri" w:hAnsi="Calibri"/>
          <w:sz w:val="18"/>
          <w:szCs w:val="18"/>
          <w:lang w:val="hu-HU"/>
        </w:rPr>
        <w:t xml:space="preserve">Control. Release </w:t>
      </w:r>
      <w:r>
        <w:rPr>
          <w:rFonts w:ascii="Calibri" w:hAnsi="Calibri"/>
          <w:sz w:val="18"/>
          <w:szCs w:val="18"/>
          <w:lang w:val="hu-HU"/>
        </w:rPr>
        <w:t>111:56–64</w:t>
      </w:r>
      <w:r w:rsidRPr="008F21AE">
        <w:rPr>
          <w:rFonts w:ascii="Calibri" w:hAnsi="Calibri"/>
          <w:sz w:val="18"/>
          <w:szCs w:val="18"/>
          <w:lang w:val="hu-HU"/>
        </w:rPr>
        <w:t>.</w:t>
      </w:r>
    </w:p>
    <w:p w:rsidR="00E16D83" w:rsidRPr="003E6F14" w:rsidRDefault="00E16D83">
      <w:pPr>
        <w:spacing w:line="200" w:lineRule="exact"/>
        <w:jc w:val="both"/>
        <w:rPr>
          <w:rFonts w:ascii="Calibri" w:hAnsi="Calibri"/>
          <w:lang w:val="de-DE"/>
        </w:rPr>
        <w:sectPr w:rsidR="00E16D83" w:rsidRPr="003E6F14">
          <w:type w:val="continuous"/>
          <w:pgSz w:w="11910" w:h="16840"/>
          <w:pgMar w:top="1740" w:right="600" w:bottom="840" w:left="620" w:header="708" w:footer="708" w:gutter="0"/>
          <w:cols w:num="2" w:space="708" w:equalWidth="0">
            <w:col w:w="5214" w:space="138"/>
            <w:col w:w="5338"/>
          </w:cols>
        </w:sectPr>
      </w:pPr>
      <w:r w:rsidRPr="003E6F14">
        <w:rPr>
          <w:rFonts w:ascii="Calibri" w:hAnsi="Calibri"/>
          <w:lang w:val="de-DE"/>
        </w:rPr>
        <w:t xml:space="preserve">   </w:t>
      </w:r>
    </w:p>
    <w:p w:rsidR="00E16D83" w:rsidRPr="003E6F14" w:rsidRDefault="00E16D83">
      <w:pPr>
        <w:pStyle w:val="BodyText"/>
        <w:rPr>
          <w:rFonts w:ascii="Calibri"/>
          <w:sz w:val="20"/>
          <w:lang w:val="de-DE"/>
        </w:rPr>
      </w:pPr>
    </w:p>
    <w:p w:rsidR="00E16D83" w:rsidRDefault="00E16D83">
      <w:pPr>
        <w:pStyle w:val="BodyText"/>
        <w:spacing w:line="40" w:lineRule="exact"/>
        <w:ind w:left="2202"/>
        <w:rPr>
          <w:rFonts w:ascii="Calibri"/>
          <w:sz w:val="4"/>
        </w:rPr>
      </w:pPr>
      <w:r>
        <w:rPr>
          <w:noProof/>
          <w:lang w:val="hu-HU" w:eastAsia="hu-HU"/>
        </w:rPr>
      </w:r>
      <w:r w:rsidRPr="00825601">
        <w:rPr>
          <w:rFonts w:ascii="Calibri"/>
          <w:noProof/>
          <w:sz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E16D83" w:rsidRDefault="00E16D83" w:rsidP="00404E5B">
      <w:pPr>
        <w:spacing w:before="92"/>
        <w:ind w:right="4234"/>
        <w:rPr>
          <w:rFonts w:ascii="Arial"/>
        </w:rPr>
      </w:pPr>
      <w:r>
        <w:rPr>
          <w:noProof/>
        </w:rPr>
        <w:t xml:space="preserve">              </w:t>
      </w:r>
      <w:r>
        <w:rPr>
          <w:noProof/>
          <w:lang w:val="hu-HU" w:eastAsia="hu-HU"/>
        </w:rPr>
      </w:r>
      <w:r>
        <w:rPr>
          <w:noProof/>
        </w:rPr>
        <w:pict>
          <v:shape id="_x0000_s1033" type="#_x0000_t75" style="width:49.6pt;height:52.25pt;mso-position-horizontal-relative:char;mso-position-vertical-relative:line">
            <v:imagedata r:id="rId10" o:title="" croptop="11301f" cropbottom="39167f" cropleft="18761f" cropright="21352f"/>
            <w10:anchorlock/>
          </v:shape>
        </w:pict>
      </w:r>
      <w:r>
        <w:rPr>
          <w:rFonts w:ascii="Arial" w:eastAsia="Times New Roman"/>
          <w:color w:val="BF5A14"/>
        </w:rPr>
        <w:t>Biography</w:t>
      </w:r>
    </w:p>
    <w:p w:rsidR="00E16D83" w:rsidRPr="00A94859" w:rsidRDefault="00E16D83" w:rsidP="00A94859">
      <w:pPr>
        <w:spacing w:before="41" w:line="154" w:lineRule="exact"/>
        <w:ind w:left="213" w:right="231"/>
        <w:jc w:val="both"/>
        <w:rPr>
          <w:rFonts w:ascii="Arial" w:hAnsi="Arial" w:cs="Arial"/>
          <w:sz w:val="14"/>
          <w:szCs w:val="14"/>
        </w:rPr>
      </w:pPr>
      <w:r>
        <w:rPr>
          <w:rFonts w:ascii="Arial" w:eastAsia="Times New Roman"/>
          <w:sz w:val="14"/>
        </w:rPr>
        <w:t>T</w:t>
      </w:r>
      <w:r>
        <w:rPr>
          <w:rFonts w:ascii="Arial" w:eastAsia="Times New Roman"/>
          <w:sz w:val="14"/>
        </w:rPr>
        <w:t>í</w:t>
      </w:r>
      <w:r>
        <w:rPr>
          <w:rFonts w:ascii="Arial" w:eastAsia="Times New Roman"/>
          <w:sz w:val="14"/>
        </w:rPr>
        <w:t>mea Tari</w:t>
      </w:r>
      <w:r>
        <w:rPr>
          <w:rFonts w:ascii="Arial" w:eastAsia="Times New Roman"/>
          <w:sz w:val="14"/>
        </w:rPr>
        <w:t>’</w:t>
      </w:r>
      <w:r>
        <w:rPr>
          <w:rFonts w:ascii="Arial" w:eastAsia="Times New Roman"/>
          <w:sz w:val="14"/>
        </w:rPr>
        <w:t>s</w:t>
      </w:r>
      <w:r w:rsidRPr="000423E6">
        <w:rPr>
          <w:rFonts w:ascii="Arial" w:eastAsia="Times New Roman"/>
          <w:sz w:val="14"/>
        </w:rPr>
        <w:t xml:space="preserve"> PhD research area is optimization of crystal habit of active agents with different crystallization methods (from conventional to new technics), and improve the processability, tablettability and solubility </w:t>
      </w:r>
      <w:r>
        <w:rPr>
          <w:rFonts w:ascii="Arial" w:eastAsia="Times New Roman"/>
          <w:sz w:val="14"/>
        </w:rPr>
        <w:t>of these pharmacons. Therefore she has</w:t>
      </w:r>
      <w:r w:rsidRPr="000423E6">
        <w:rPr>
          <w:rFonts w:ascii="Arial" w:eastAsia="Times New Roman"/>
          <w:sz w:val="14"/>
        </w:rPr>
        <w:t xml:space="preserve"> acquired good experiences in the field of polymorph identification, particle size analysis and other solid state analytical processes.</w:t>
      </w:r>
      <w:r>
        <w:rPr>
          <w:rFonts w:ascii="Arial" w:eastAsia="Times New Roman"/>
          <w:sz w:val="14"/>
        </w:rPr>
        <w:t xml:space="preserve"> This month she is</w:t>
      </w:r>
      <w:r w:rsidRPr="00A94859">
        <w:rPr>
          <w:rFonts w:ascii="Arial" w:eastAsia="Times New Roman"/>
          <w:sz w:val="14"/>
        </w:rPr>
        <w:t xml:space="preserve"> having a new </w:t>
      </w:r>
      <w:r w:rsidRPr="00A94859">
        <w:rPr>
          <w:rFonts w:ascii="Arial" w:hAnsi="Arial" w:cs="Arial"/>
          <w:sz w:val="14"/>
          <w:szCs w:val="14"/>
        </w:rPr>
        <w:t>project that includes continuous crystallization process development, furthermore her aim is the optimization of filtration and drying parameters to obtain high quality product. She is</w:t>
      </w:r>
      <w:r>
        <w:rPr>
          <w:rFonts w:ascii="Arial" w:hAnsi="Arial" w:cs="Arial"/>
          <w:sz w:val="14"/>
          <w:szCs w:val="14"/>
        </w:rPr>
        <w:t xml:space="preserve"> motivated by new challenges, she</w:t>
      </w:r>
      <w:r w:rsidRPr="00A94859">
        <w:rPr>
          <w:rFonts w:ascii="Arial" w:hAnsi="Arial" w:cs="Arial"/>
          <w:sz w:val="14"/>
          <w:szCs w:val="14"/>
        </w:rPr>
        <w:t xml:space="preserve"> consider</w:t>
      </w:r>
      <w:r>
        <w:rPr>
          <w:rFonts w:ascii="Arial" w:hAnsi="Arial" w:cs="Arial"/>
          <w:sz w:val="14"/>
          <w:szCs w:val="14"/>
        </w:rPr>
        <w:t>s her</w:t>
      </w:r>
      <w:r w:rsidRPr="00A94859">
        <w:rPr>
          <w:rFonts w:ascii="Arial" w:hAnsi="Arial" w:cs="Arial"/>
          <w:sz w:val="14"/>
          <w:szCs w:val="14"/>
        </w:rPr>
        <w:t>self creative, perseverant and team player. Pr</w:t>
      </w:r>
      <w:r>
        <w:rPr>
          <w:rFonts w:ascii="Arial" w:hAnsi="Arial" w:cs="Arial"/>
          <w:sz w:val="14"/>
          <w:szCs w:val="14"/>
        </w:rPr>
        <w:t>ecisity is very important for her</w:t>
      </w:r>
      <w:r w:rsidRPr="00A94859">
        <w:rPr>
          <w:rFonts w:ascii="Arial" w:hAnsi="Arial" w:cs="Arial"/>
          <w:sz w:val="14"/>
          <w:szCs w:val="14"/>
        </w:rPr>
        <w:t>.</w:t>
      </w:r>
      <w:r>
        <w:rPr>
          <w:rFonts w:ascii="Arial" w:hAnsi="Arial" w:cs="Arial"/>
          <w:sz w:val="14"/>
          <w:szCs w:val="14"/>
        </w:rPr>
        <w:t xml:space="preserve"> Last year she has started the </w:t>
      </w:r>
      <w:r w:rsidRPr="00A94859">
        <w:rPr>
          <w:rFonts w:ascii="Arial" w:hAnsi="Arial" w:cs="Arial"/>
          <w:sz w:val="14"/>
          <w:szCs w:val="14"/>
        </w:rPr>
        <w:t>Specialist of Biotechnology</w:t>
      </w:r>
      <w:r>
        <w:rPr>
          <w:rFonts w:ascii="Arial" w:hAnsi="Arial" w:cs="Arial"/>
          <w:sz w:val="14"/>
          <w:szCs w:val="14"/>
        </w:rPr>
        <w:t xml:space="preserve"> </w:t>
      </w:r>
      <w:r w:rsidRPr="00A94859">
        <w:rPr>
          <w:rFonts w:ascii="Arial" w:hAnsi="Arial" w:cs="Arial"/>
          <w:sz w:val="14"/>
          <w:szCs w:val="14"/>
        </w:rPr>
        <w:t>qualification</w:t>
      </w:r>
      <w:r>
        <w:rPr>
          <w:rFonts w:ascii="Arial" w:hAnsi="Arial" w:cs="Arial"/>
          <w:sz w:val="14"/>
          <w:szCs w:val="14"/>
        </w:rPr>
        <w:t xml:space="preserve"> at the U</w:t>
      </w:r>
      <w:r w:rsidRPr="00A94859">
        <w:rPr>
          <w:rFonts w:ascii="Arial" w:hAnsi="Arial" w:cs="Arial"/>
          <w:sz w:val="14"/>
          <w:szCs w:val="14"/>
        </w:rPr>
        <w:t>niversity of Sze</w:t>
      </w:r>
      <w:r>
        <w:rPr>
          <w:rFonts w:ascii="Arial" w:hAnsi="Arial" w:cs="Arial"/>
          <w:sz w:val="14"/>
          <w:szCs w:val="14"/>
        </w:rPr>
        <w:t xml:space="preserve">ged, Faculty of Pharmacy, where the theoretical background, as well as </w:t>
      </w:r>
      <w:r w:rsidRPr="00A94859">
        <w:rPr>
          <w:rFonts w:ascii="Arial" w:hAnsi="Arial" w:cs="Arial"/>
          <w:sz w:val="14"/>
          <w:szCs w:val="14"/>
        </w:rPr>
        <w:t>experimental work of molecular biology; purification and analysis of proteins</w:t>
      </w:r>
      <w:r>
        <w:rPr>
          <w:rFonts w:ascii="Arial" w:hAnsi="Arial" w:cs="Arial"/>
          <w:sz w:val="14"/>
          <w:szCs w:val="14"/>
        </w:rPr>
        <w:t xml:space="preserve"> are also </w:t>
      </w:r>
      <w:r w:rsidRPr="00A94859">
        <w:rPr>
          <w:rFonts w:ascii="Arial" w:hAnsi="Arial" w:cs="Arial"/>
          <w:sz w:val="14"/>
          <w:szCs w:val="14"/>
        </w:rPr>
        <w:t>accomplish</w:t>
      </w:r>
      <w:r>
        <w:rPr>
          <w:rFonts w:ascii="Arial" w:hAnsi="Arial" w:cs="Arial"/>
          <w:sz w:val="14"/>
          <w:szCs w:val="14"/>
        </w:rPr>
        <w:t>ed</w:t>
      </w:r>
      <w:r w:rsidRPr="00A94859">
        <w:rPr>
          <w:rFonts w:ascii="Arial" w:hAnsi="Arial" w:cs="Arial"/>
          <w:sz w:val="14"/>
          <w:szCs w:val="14"/>
        </w:rPr>
        <w:t>.</w:t>
      </w:r>
    </w:p>
    <w:p w:rsidR="00E16D83" w:rsidRPr="00BC509D" w:rsidRDefault="00E16D83">
      <w:pPr>
        <w:spacing w:before="62"/>
        <w:ind w:left="4217" w:right="4235"/>
        <w:jc w:val="center"/>
        <w:rPr>
          <w:rFonts w:ascii="Arial"/>
          <w:sz w:val="14"/>
          <w:lang w:val="fr-FR"/>
        </w:rPr>
      </w:pPr>
      <w:r w:rsidRPr="00BC509D">
        <w:rPr>
          <w:rFonts w:ascii="Arial" w:eastAsia="Times New Roman"/>
          <w:sz w:val="14"/>
          <w:lang w:val="fr-FR"/>
        </w:rPr>
        <w:t xml:space="preserve">Email: </w:t>
      </w:r>
      <w:hyperlink r:id="rId11" w:history="1">
        <w:r>
          <w:rPr>
            <w:rStyle w:val="Hyperlink"/>
            <w:rFonts w:ascii="Arial" w:eastAsia="Times New Roman" w:cs="Tw Cen MT"/>
            <w:sz w:val="14"/>
            <w:lang w:val="fr-FR"/>
          </w:rPr>
          <w:t>tari.timea</w:t>
        </w:r>
        <w:r w:rsidRPr="00BC509D">
          <w:rPr>
            <w:rStyle w:val="Hyperlink"/>
            <w:rFonts w:ascii="Arial" w:eastAsia="Times New Roman" w:cs="Tw Cen MT"/>
            <w:sz w:val="14"/>
            <w:lang w:val="fr-FR"/>
          </w:rPr>
          <w:t>@</w:t>
        </w:r>
        <w:r>
          <w:rPr>
            <w:rStyle w:val="Hyperlink"/>
            <w:rFonts w:ascii="Arial" w:eastAsia="Times New Roman" w:cs="Tw Cen MT"/>
            <w:sz w:val="14"/>
            <w:lang w:val="fr-FR"/>
          </w:rPr>
          <w:t>pharm.u-szeged.hu</w:t>
        </w:r>
      </w:hyperlink>
    </w:p>
    <w:p w:rsidR="00E16D83" w:rsidRPr="000423E6" w:rsidRDefault="00E16D83" w:rsidP="00A8059B">
      <w:pPr>
        <w:pStyle w:val="BodyText"/>
        <w:spacing w:before="2"/>
        <w:rPr>
          <w:rFonts w:ascii="Arial"/>
          <w:sz w:val="19"/>
          <w:lang w:val="fr-FR"/>
        </w:rPr>
        <w:sectPr w:rsidR="00E16D83" w:rsidRPr="000423E6">
          <w:type w:val="continuous"/>
          <w:pgSz w:w="11910" w:h="16840"/>
          <w:pgMar w:top="1740" w:right="600" w:bottom="840" w:left="620" w:header="708" w:footer="708" w:gutter="0"/>
          <w:cols w:space="708"/>
        </w:sectPr>
      </w:pPr>
      <w:r>
        <w:rPr>
          <w:noProof/>
          <w:lang w:val="hu-HU" w:eastAsia="hu-HU"/>
        </w:rPr>
        <w:pict>
          <v:line id="Line 3" o:spid="_x0000_s1034"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16D83" w:rsidRDefault="00E16D83" w:rsidP="00A8059B">
      <w:pPr>
        <w:pStyle w:val="BodyText"/>
        <w:spacing w:before="3"/>
        <w:rPr>
          <w:lang w:val="fr-FR"/>
        </w:rPr>
      </w:pPr>
    </w:p>
    <w:p w:rsidR="00E16D83" w:rsidRDefault="00E16D83" w:rsidP="00A8059B">
      <w:pPr>
        <w:pStyle w:val="BodyText"/>
        <w:spacing w:before="3"/>
        <w:rPr>
          <w:lang w:val="fr-FR"/>
        </w:rPr>
      </w:pPr>
    </w:p>
    <w:p w:rsidR="00E16D83" w:rsidRDefault="00E16D83" w:rsidP="00A8059B">
      <w:pPr>
        <w:pStyle w:val="BodyText"/>
        <w:spacing w:before="3"/>
        <w:rPr>
          <w:lang w:val="fr-FR"/>
        </w:rPr>
      </w:pPr>
    </w:p>
    <w:p w:rsidR="00E16D83" w:rsidRPr="00B21A57" w:rsidRDefault="00E16D83" w:rsidP="00FB2F3E">
      <w:pPr>
        <w:spacing w:before="39"/>
        <w:ind w:left="100"/>
        <w:rPr>
          <w:rFonts w:ascii="Minion Pro" w:eastAsia="Times New Roman"/>
          <w:b/>
          <w:sz w:val="20"/>
        </w:rPr>
      </w:pPr>
      <w:r w:rsidRPr="00B21A57">
        <w:rPr>
          <w:rFonts w:ascii="Minion Pro" w:eastAsia="Times New Roman"/>
          <w:b/>
          <w:sz w:val="20"/>
        </w:rPr>
        <w:t>Notes/Comments:</w:t>
      </w:r>
    </w:p>
    <w:p w:rsidR="00E16D83" w:rsidRPr="000423E6" w:rsidRDefault="00E16D83" w:rsidP="00A8059B">
      <w:pPr>
        <w:pStyle w:val="BodyText"/>
        <w:spacing w:before="3"/>
        <w:rPr>
          <w:lang w:val="fr-FR"/>
        </w:rPr>
      </w:pPr>
    </w:p>
    <w:sectPr w:rsidR="00E16D83" w:rsidRPr="000423E6"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D83" w:rsidRDefault="00E16D83">
      <w:r>
        <w:separator/>
      </w:r>
    </w:p>
  </w:endnote>
  <w:endnote w:type="continuationSeparator" w:id="0">
    <w:p w:rsidR="00E16D83" w:rsidRDefault="00E16D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dvTime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Batang">
    <w:altName w:val="???A"/>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83" w:rsidRDefault="00E16D83">
    <w:pPr>
      <w:pStyle w:val="BodyText"/>
      <w:spacing w:line="14" w:lineRule="auto"/>
      <w:rPr>
        <w:sz w:val="20"/>
      </w:rPr>
    </w:pPr>
    <w:r>
      <w:rPr>
        <w:noProof/>
        <w:lang w:val="hu-HU" w:eastAsia="hu-HU"/>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E16D83" w:rsidRPr="00ED2BFB" w:rsidRDefault="00E16D83">
                <w:pPr>
                  <w:spacing w:line="184" w:lineRule="exact"/>
                  <w:ind w:left="20" w:right="-12"/>
                  <w:rPr>
                    <w:rFonts w:ascii="Arial" w:eastAsia="Times New Roman"/>
                    <w:color w:val="FFFFFF"/>
                    <w:sz w:val="16"/>
                  </w:rPr>
                </w:pPr>
                <w:r w:rsidRPr="00ED2BFB">
                  <w:rPr>
                    <w:rFonts w:ascii="Arial" w:eastAsia="Times New Roman"/>
                    <w:color w:val="FFFFFF"/>
                    <w:sz w:val="16"/>
                  </w:rPr>
                  <w:t>J Pain Relief</w:t>
                </w:r>
              </w:p>
              <w:p w:rsidR="00E16D83" w:rsidRPr="00ED2BFB" w:rsidRDefault="00E16D83">
                <w:pPr>
                  <w:spacing w:before="8"/>
                  <w:ind w:left="20" w:right="-12"/>
                  <w:rPr>
                    <w:rFonts w:ascii="Arial" w:eastAsia="Times New Roman"/>
                    <w:color w:val="FFFFFF"/>
                    <w:sz w:val="16"/>
                  </w:rPr>
                </w:pPr>
                <w:r w:rsidRPr="00ED2BFB">
                  <w:rPr>
                    <w:rFonts w:ascii="Arial" w:eastAsia="Times New Roman"/>
                    <w:color w:val="FFFFFF"/>
                    <w:sz w:val="16"/>
                  </w:rPr>
                  <w:t>ISSN: 2167-0846 JPAR an open access journa</w:t>
                </w:r>
              </w:p>
            </w:txbxContent>
          </v:textbox>
          <w10:wrap anchorx="page" anchory="page"/>
        </v:shape>
      </w:pict>
    </w:r>
    <w:r>
      <w:rPr>
        <w:noProof/>
        <w:lang w:val="hu-HU" w:eastAsia="hu-HU"/>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E16D83" w:rsidRPr="00ED2BFB" w:rsidRDefault="00E16D83">
                <w:pPr>
                  <w:spacing w:line="269" w:lineRule="exact"/>
                  <w:jc w:val="center"/>
                  <w:rPr>
                    <w:rFonts w:ascii="Impact" w:eastAsia="Times New Roman"/>
                    <w:color w:val="FFFFFF"/>
                    <w:sz w:val="24"/>
                  </w:rPr>
                </w:pPr>
                <w:r w:rsidRPr="00ED2BFB">
                  <w:rPr>
                    <w:rFonts w:ascii="Impact" w:eastAsia="Times New Roman"/>
                    <w:color w:val="FFFFFF"/>
                    <w:sz w:val="24"/>
                  </w:rPr>
                  <w:t>Fibromyalgia 2016</w:t>
                </w:r>
              </w:p>
              <w:p w:rsidR="00E16D83" w:rsidRPr="00ED2BFB" w:rsidRDefault="00E16D83">
                <w:pPr>
                  <w:spacing w:before="29"/>
                  <w:jc w:val="center"/>
                  <w:rPr>
                    <w:rFonts w:ascii="Arial" w:eastAsia="Times New Roman"/>
                    <w:color w:val="FFFFFF"/>
                    <w:sz w:val="16"/>
                  </w:rPr>
                </w:pPr>
                <w:r w:rsidRPr="00ED2BFB">
                  <w:rPr>
                    <w:rFonts w:ascii="Arial" w:eastAsia="Times New Roman"/>
                    <w:color w:val="FFFFFF"/>
                    <w:sz w:val="16"/>
                  </w:rPr>
                  <w:t>June 15-16, 2016</w:t>
                </w:r>
              </w:p>
            </w:txbxContent>
          </v:textbox>
          <w10:wrap anchorx="page" anchory="page"/>
        </v:shape>
      </w:pict>
    </w:r>
    <w:r>
      <w:rPr>
        <w:noProof/>
        <w:lang w:val="hu-HU" w:eastAsia="hu-HU"/>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E16D83" w:rsidRPr="00ED2BFB" w:rsidRDefault="00E16D83">
                <w:pPr>
                  <w:spacing w:line="184" w:lineRule="exact"/>
                  <w:ind w:right="18"/>
                  <w:jc w:val="right"/>
                  <w:rPr>
                    <w:rFonts w:ascii="Arial" w:eastAsia="Times New Roman"/>
                    <w:color w:val="FFFFFF"/>
                    <w:sz w:val="16"/>
                  </w:rPr>
                </w:pPr>
                <w:r w:rsidRPr="00ED2BFB">
                  <w:rPr>
                    <w:rFonts w:ascii="Arial" w:eastAsia="Times New Roman"/>
                    <w:color w:val="FFFFFF"/>
                    <w:sz w:val="16"/>
                  </w:rPr>
                  <w:t>Volume 5, Issue 3(Suppl)</w:t>
                </w:r>
              </w:p>
              <w:p w:rsidR="00E16D83" w:rsidRPr="00ED2BFB" w:rsidRDefault="00E16D83">
                <w:pPr>
                  <w:spacing w:before="116"/>
                  <w:ind w:right="18"/>
                  <w:jc w:val="right"/>
                  <w:rPr>
                    <w:rFonts w:ascii="Minion Pro" w:eastAsia="Times New Roman"/>
                    <w:color w:val="FFFFFF"/>
                    <w:sz w:val="16"/>
                  </w:rPr>
                </w:pPr>
                <w:r w:rsidRPr="00ED2BFB">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D83" w:rsidRDefault="00E16D83">
      <w:r>
        <w:separator/>
      </w:r>
    </w:p>
  </w:footnote>
  <w:footnote w:type="continuationSeparator" w:id="0">
    <w:p w:rsidR="00E16D83" w:rsidRDefault="00E16D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83" w:rsidRDefault="00E16D83">
    <w:pPr>
      <w:pStyle w:val="BodyText"/>
      <w:spacing w:line="14" w:lineRule="auto"/>
      <w:rPr>
        <w:sz w:val="20"/>
      </w:rPr>
    </w:pPr>
    <w:r>
      <w:rPr>
        <w:noProof/>
        <w:lang w:val="hu-HU" w:eastAsia="hu-HU"/>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E16D83" w:rsidRPr="00BC509D" w:rsidRDefault="00E16D83">
                <w:pPr>
                  <w:spacing w:before="2" w:line="249" w:lineRule="auto"/>
                  <w:ind w:left="156" w:right="18" w:hanging="137"/>
                  <w:rPr>
                    <w:rFonts w:ascii="Arial"/>
                    <w:color w:val="FFFFFF"/>
                    <w:sz w:val="14"/>
                    <w:lang w:val="fr-FR"/>
                  </w:rPr>
                </w:pPr>
                <w:r w:rsidRPr="00BC509D">
                  <w:rPr>
                    <w:rFonts w:ascii="Arial" w:eastAsia="Times New Roman"/>
                    <w:color w:val="FFFFFF"/>
                    <w:sz w:val="14"/>
                    <w:lang w:val="fr-FR"/>
                  </w:rPr>
                  <w:t xml:space="preserve">T Furuta et al., J Pai n Relief 2016, 5:3(Suppl) </w:t>
                </w:r>
                <w:hyperlink r:id="rId1">
                  <w:r w:rsidRPr="00BC509D">
                    <w:rPr>
                      <w:rFonts w:ascii="Arial" w:eastAsia="Times New Roman"/>
                      <w:color w:val="FFFFFF"/>
                      <w:sz w:val="14"/>
                      <w:lang w:val="fr-FR"/>
                    </w:rPr>
                    <w:t>http://dx.doi.org/10.4172/2167-0846.C1.006</w:t>
                  </w:r>
                </w:hyperlink>
              </w:p>
            </w:txbxContent>
          </v:textbox>
          <w10:wrap anchorx="page" anchory="page"/>
        </v:shape>
      </w:pict>
    </w:r>
    <w:r>
      <w:rPr>
        <w:noProof/>
        <w:lang w:val="hu-HU" w:eastAsia="hu-HU"/>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E16D83" w:rsidRPr="00ED2BFB" w:rsidRDefault="00E16D83">
                <w:pPr>
                  <w:pStyle w:val="BodyText"/>
                  <w:spacing w:line="187" w:lineRule="exact"/>
                  <w:ind w:left="20" w:right="-10"/>
                  <w:rPr>
                    <w:rFonts w:ascii="Myriad Pro" w:eastAsia="Times New Roman"/>
                    <w:color w:val="FFFFFF"/>
                  </w:rPr>
                </w:pPr>
                <w:r w:rsidRPr="00ED2BFB">
                  <w:rPr>
                    <w:rFonts w:ascii="Myriad Pro" w:eastAsia="Times New Roman"/>
                    <w:color w:val="FFFFFF"/>
                  </w:rPr>
                  <w:t>International Conference on</w:t>
                </w:r>
              </w:p>
              <w:p w:rsidR="00E16D83" w:rsidRPr="00ED2BFB" w:rsidRDefault="00E16D83">
                <w:pPr>
                  <w:spacing w:line="614" w:lineRule="exact"/>
                  <w:ind w:left="20" w:right="-10"/>
                  <w:rPr>
                    <w:rFonts w:ascii="Minion Pro" w:eastAsia="Times New Roman"/>
                    <w:color w:val="FFFFFF"/>
                    <w:sz w:val="24"/>
                  </w:rPr>
                </w:pPr>
                <w:r w:rsidRPr="00ED2BFB">
                  <w:rPr>
                    <w:rFonts w:ascii="Impact" w:eastAsia="Times New Roman"/>
                    <w:color w:val="FFFFFF"/>
                    <w:sz w:val="52"/>
                  </w:rPr>
                  <w:t xml:space="preserve">Fibromyalgia and Chronic Pain </w:t>
                </w:r>
                <w:r w:rsidRPr="00ED2BFB">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37B29F3"/>
    <w:multiLevelType w:val="hybridMultilevel"/>
    <w:tmpl w:val="1A5EE9D2"/>
    <w:lvl w:ilvl="0" w:tplc="857ED41C">
      <w:start w:val="1"/>
      <w:numFmt w:val="decimal"/>
      <w:lvlText w:val="%1."/>
      <w:lvlJc w:val="left"/>
      <w:pPr>
        <w:ind w:left="720" w:hanging="360"/>
      </w:pPr>
      <w:rPr>
        <w:rFonts w:ascii="AdvTimes" w:hAnsi="AdvTimes" w:cs="AdvTime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23E6"/>
    <w:rsid w:val="000D3368"/>
    <w:rsid w:val="000E2911"/>
    <w:rsid w:val="001263DF"/>
    <w:rsid w:val="00130282"/>
    <w:rsid w:val="001569EB"/>
    <w:rsid w:val="001B2FEE"/>
    <w:rsid w:val="00292ED9"/>
    <w:rsid w:val="003E6F14"/>
    <w:rsid w:val="00404E5B"/>
    <w:rsid w:val="00414F7B"/>
    <w:rsid w:val="004355DC"/>
    <w:rsid w:val="00467389"/>
    <w:rsid w:val="004749B4"/>
    <w:rsid w:val="00494130"/>
    <w:rsid w:val="004F3523"/>
    <w:rsid w:val="005357EC"/>
    <w:rsid w:val="005973B9"/>
    <w:rsid w:val="005B3A56"/>
    <w:rsid w:val="006060CE"/>
    <w:rsid w:val="00616076"/>
    <w:rsid w:val="0063497F"/>
    <w:rsid w:val="00641F22"/>
    <w:rsid w:val="00825601"/>
    <w:rsid w:val="00873DF0"/>
    <w:rsid w:val="008756E6"/>
    <w:rsid w:val="008F21AE"/>
    <w:rsid w:val="009B2D44"/>
    <w:rsid w:val="00A07E82"/>
    <w:rsid w:val="00A8059B"/>
    <w:rsid w:val="00A94859"/>
    <w:rsid w:val="00A9710C"/>
    <w:rsid w:val="00AE3E37"/>
    <w:rsid w:val="00B21A57"/>
    <w:rsid w:val="00B2258B"/>
    <w:rsid w:val="00BC509D"/>
    <w:rsid w:val="00C33602"/>
    <w:rsid w:val="00C377C9"/>
    <w:rsid w:val="00CD6F55"/>
    <w:rsid w:val="00D03BA2"/>
    <w:rsid w:val="00DE3104"/>
    <w:rsid w:val="00E16D83"/>
    <w:rsid w:val="00ED2BFB"/>
    <w:rsid w:val="00F34292"/>
    <w:rsid w:val="00F72EEA"/>
    <w:rsid w:val="00F74D33"/>
    <w:rsid w:val="00F84CAE"/>
    <w:rsid w:val="00FB2F3E"/>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643"/>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6D1643"/>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6D1643"/>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character" w:styleId="FollowedHyperlink">
    <w:name w:val="FollowedHyperlink"/>
    <w:basedOn w:val="DefaultParagraphFont"/>
    <w:uiPriority w:val="99"/>
    <w:rsid w:val="00A8059B"/>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760416160">
      <w:marLeft w:val="0"/>
      <w:marRight w:val="0"/>
      <w:marTop w:val="0"/>
      <w:marBottom w:val="0"/>
      <w:divBdr>
        <w:top w:val="none" w:sz="0" w:space="0" w:color="auto"/>
        <w:left w:val="none" w:sz="0" w:space="0" w:color="auto"/>
        <w:bottom w:val="none" w:sz="0" w:space="0" w:color="auto"/>
        <w:right w:val="none" w:sz="0" w:space="0" w:color="auto"/>
      </w:divBdr>
    </w:div>
    <w:div w:id="7604161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82</TotalTime>
  <Pages>1</Pages>
  <Words>622</Words>
  <Characters>4298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Tari Tímea</cp:lastModifiedBy>
  <cp:revision>11</cp:revision>
  <dcterms:created xsi:type="dcterms:W3CDTF">2017-02-22T12:22:00Z</dcterms:created>
  <dcterms:modified xsi:type="dcterms:W3CDTF">2017-02-22T13:55:00Z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