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19A24F" w14:textId="66B69D46" w:rsidR="00F6136F" w:rsidRDefault="00601503" w:rsidP="001E46B4">
      <w:pPr>
        <w:pStyle w:val="Sinespaciado"/>
        <w:jc w:val="both"/>
        <w:rPr>
          <w:rStyle w:val="nfasis"/>
          <w:rFonts w:ascii="Times New Roman" w:hAnsi="Times New Roman" w:cs="Times New Roman"/>
          <w:b/>
          <w:bCs/>
          <w:i w:val="0"/>
          <w:iCs w:val="0"/>
          <w:caps/>
          <w:sz w:val="24"/>
          <w:szCs w:val="24"/>
          <w:u w:val="single"/>
          <w:lang w:val="en-US"/>
        </w:rPr>
      </w:pPr>
      <w:r w:rsidRPr="00301026">
        <w:rPr>
          <w:rStyle w:val="nfasis"/>
          <w:rFonts w:ascii="Times New Roman" w:hAnsi="Times New Roman" w:cs="Times New Roman"/>
          <w:b/>
          <w:bCs/>
          <w:i w:val="0"/>
          <w:iCs w:val="0"/>
          <w:caps/>
          <w:sz w:val="24"/>
          <w:szCs w:val="24"/>
          <w:u w:val="single"/>
          <w:lang w:val="en-US"/>
        </w:rPr>
        <w:t xml:space="preserve">Review of </w:t>
      </w:r>
      <w:r w:rsidR="00F6136F" w:rsidRPr="00301026">
        <w:rPr>
          <w:rStyle w:val="nfasis"/>
          <w:rFonts w:ascii="Times New Roman" w:hAnsi="Times New Roman" w:cs="Times New Roman"/>
          <w:b/>
          <w:bCs/>
          <w:i w:val="0"/>
          <w:iCs w:val="0"/>
          <w:caps/>
          <w:sz w:val="24"/>
          <w:szCs w:val="24"/>
          <w:u w:val="single"/>
          <w:lang w:val="en-US"/>
        </w:rPr>
        <w:t xml:space="preserve">Therapeutic </w:t>
      </w:r>
      <w:r w:rsidR="001E46B4" w:rsidRPr="00301026">
        <w:rPr>
          <w:rStyle w:val="nfasis"/>
          <w:rFonts w:ascii="Times New Roman" w:hAnsi="Times New Roman" w:cs="Times New Roman"/>
          <w:b/>
          <w:bCs/>
          <w:i w:val="0"/>
          <w:iCs w:val="0"/>
          <w:caps/>
          <w:sz w:val="24"/>
          <w:szCs w:val="24"/>
          <w:u w:val="single"/>
          <w:lang w:val="en-US"/>
        </w:rPr>
        <w:t>S</w:t>
      </w:r>
      <w:r w:rsidR="00F6136F" w:rsidRPr="00301026">
        <w:rPr>
          <w:rStyle w:val="nfasis"/>
          <w:rFonts w:ascii="Times New Roman" w:hAnsi="Times New Roman" w:cs="Times New Roman"/>
          <w:b/>
          <w:bCs/>
          <w:i w:val="0"/>
          <w:iCs w:val="0"/>
          <w:caps/>
          <w:sz w:val="24"/>
          <w:szCs w:val="24"/>
          <w:u w:val="single"/>
          <w:lang w:val="en-US"/>
        </w:rPr>
        <w:t xml:space="preserve">trategies, aimed at </w:t>
      </w:r>
      <w:r w:rsidR="001E46B4" w:rsidRPr="00301026">
        <w:rPr>
          <w:rStyle w:val="nfasis"/>
          <w:rFonts w:ascii="Times New Roman" w:hAnsi="Times New Roman" w:cs="Times New Roman"/>
          <w:b/>
          <w:bCs/>
          <w:i w:val="0"/>
          <w:iCs w:val="0"/>
          <w:caps/>
          <w:sz w:val="24"/>
          <w:szCs w:val="24"/>
          <w:u w:val="single"/>
          <w:lang w:val="en-US"/>
        </w:rPr>
        <w:t>C</w:t>
      </w:r>
      <w:r w:rsidR="00F6136F" w:rsidRPr="00301026">
        <w:rPr>
          <w:rStyle w:val="nfasis"/>
          <w:rFonts w:ascii="Times New Roman" w:hAnsi="Times New Roman" w:cs="Times New Roman"/>
          <w:b/>
          <w:bCs/>
          <w:i w:val="0"/>
          <w:iCs w:val="0"/>
          <w:caps/>
          <w:sz w:val="24"/>
          <w:szCs w:val="24"/>
          <w:u w:val="single"/>
          <w:lang w:val="en-US"/>
        </w:rPr>
        <w:t xml:space="preserve">ounteracting the </w:t>
      </w:r>
      <w:r w:rsidR="001E46B4" w:rsidRPr="00301026">
        <w:rPr>
          <w:rStyle w:val="nfasis"/>
          <w:rFonts w:ascii="Times New Roman" w:hAnsi="Times New Roman" w:cs="Times New Roman"/>
          <w:b/>
          <w:bCs/>
          <w:i w:val="0"/>
          <w:iCs w:val="0"/>
          <w:caps/>
          <w:sz w:val="24"/>
          <w:szCs w:val="24"/>
          <w:u w:val="single"/>
          <w:lang w:val="en-US"/>
        </w:rPr>
        <w:t>A</w:t>
      </w:r>
      <w:r w:rsidR="00F6136F" w:rsidRPr="00301026">
        <w:rPr>
          <w:rStyle w:val="nfasis"/>
          <w:rFonts w:ascii="Times New Roman" w:hAnsi="Times New Roman" w:cs="Times New Roman"/>
          <w:b/>
          <w:bCs/>
          <w:i w:val="0"/>
          <w:iCs w:val="0"/>
          <w:caps/>
          <w:sz w:val="24"/>
          <w:szCs w:val="24"/>
          <w:u w:val="single"/>
          <w:lang w:val="en-US"/>
        </w:rPr>
        <w:t xml:space="preserve">lterations of the </w:t>
      </w:r>
      <w:r w:rsidR="001E46B4" w:rsidRPr="00301026">
        <w:rPr>
          <w:rStyle w:val="nfasis"/>
          <w:rFonts w:ascii="Times New Roman" w:hAnsi="Times New Roman" w:cs="Times New Roman"/>
          <w:b/>
          <w:bCs/>
          <w:i w:val="0"/>
          <w:iCs w:val="0"/>
          <w:caps/>
          <w:sz w:val="24"/>
          <w:szCs w:val="24"/>
          <w:u w:val="single"/>
          <w:lang w:val="en-US"/>
        </w:rPr>
        <w:t>A</w:t>
      </w:r>
      <w:r w:rsidR="00F6136F" w:rsidRPr="00301026">
        <w:rPr>
          <w:rStyle w:val="nfasis"/>
          <w:rFonts w:ascii="Times New Roman" w:hAnsi="Times New Roman" w:cs="Times New Roman"/>
          <w:b/>
          <w:bCs/>
          <w:i w:val="0"/>
          <w:iCs w:val="0"/>
          <w:caps/>
          <w:sz w:val="24"/>
          <w:szCs w:val="24"/>
          <w:u w:val="single"/>
          <w:lang w:val="en-US"/>
        </w:rPr>
        <w:t xml:space="preserve">utonomous </w:t>
      </w:r>
      <w:r w:rsidR="001E46B4" w:rsidRPr="00301026">
        <w:rPr>
          <w:rStyle w:val="nfasis"/>
          <w:rFonts w:ascii="Times New Roman" w:hAnsi="Times New Roman" w:cs="Times New Roman"/>
          <w:b/>
          <w:bCs/>
          <w:i w:val="0"/>
          <w:iCs w:val="0"/>
          <w:caps/>
          <w:sz w:val="24"/>
          <w:szCs w:val="24"/>
          <w:u w:val="single"/>
          <w:lang w:val="en-US"/>
        </w:rPr>
        <w:t>N</w:t>
      </w:r>
      <w:r w:rsidR="00F6136F" w:rsidRPr="00301026">
        <w:rPr>
          <w:rStyle w:val="nfasis"/>
          <w:rFonts w:ascii="Times New Roman" w:hAnsi="Times New Roman" w:cs="Times New Roman"/>
          <w:b/>
          <w:bCs/>
          <w:i w:val="0"/>
          <w:iCs w:val="0"/>
          <w:caps/>
          <w:sz w:val="24"/>
          <w:szCs w:val="24"/>
          <w:u w:val="single"/>
          <w:lang w:val="en-US"/>
        </w:rPr>
        <w:t xml:space="preserve">ervous </w:t>
      </w:r>
      <w:r w:rsidR="001E46B4" w:rsidRPr="00301026">
        <w:rPr>
          <w:rStyle w:val="nfasis"/>
          <w:rFonts w:ascii="Times New Roman" w:hAnsi="Times New Roman" w:cs="Times New Roman"/>
          <w:b/>
          <w:bCs/>
          <w:i w:val="0"/>
          <w:iCs w:val="0"/>
          <w:caps/>
          <w:sz w:val="24"/>
          <w:szCs w:val="24"/>
          <w:u w:val="single"/>
          <w:lang w:val="en-US"/>
        </w:rPr>
        <w:t>S</w:t>
      </w:r>
      <w:r w:rsidR="00F6136F" w:rsidRPr="00301026">
        <w:rPr>
          <w:rStyle w:val="nfasis"/>
          <w:rFonts w:ascii="Times New Roman" w:hAnsi="Times New Roman" w:cs="Times New Roman"/>
          <w:b/>
          <w:bCs/>
          <w:i w:val="0"/>
          <w:iCs w:val="0"/>
          <w:caps/>
          <w:sz w:val="24"/>
          <w:szCs w:val="24"/>
          <w:u w:val="single"/>
          <w:lang w:val="en-US"/>
        </w:rPr>
        <w:t xml:space="preserve">ystem, in </w:t>
      </w:r>
      <w:r w:rsidR="001E46B4" w:rsidRPr="00301026">
        <w:rPr>
          <w:rStyle w:val="nfasis"/>
          <w:rFonts w:ascii="Times New Roman" w:hAnsi="Times New Roman" w:cs="Times New Roman"/>
          <w:b/>
          <w:bCs/>
          <w:i w:val="0"/>
          <w:iCs w:val="0"/>
          <w:caps/>
          <w:sz w:val="24"/>
          <w:szCs w:val="24"/>
          <w:u w:val="single"/>
          <w:lang w:val="en-US"/>
        </w:rPr>
        <w:t>C</w:t>
      </w:r>
      <w:r w:rsidR="00F6136F" w:rsidRPr="00301026">
        <w:rPr>
          <w:rStyle w:val="nfasis"/>
          <w:rFonts w:ascii="Times New Roman" w:hAnsi="Times New Roman" w:cs="Times New Roman"/>
          <w:b/>
          <w:bCs/>
          <w:i w:val="0"/>
          <w:iCs w:val="0"/>
          <w:caps/>
          <w:sz w:val="24"/>
          <w:szCs w:val="24"/>
          <w:u w:val="single"/>
          <w:lang w:val="en-US"/>
        </w:rPr>
        <w:t xml:space="preserve">ardiovascular </w:t>
      </w:r>
      <w:r w:rsidR="001E46B4" w:rsidRPr="00301026">
        <w:rPr>
          <w:rStyle w:val="nfasis"/>
          <w:rFonts w:ascii="Times New Roman" w:hAnsi="Times New Roman" w:cs="Times New Roman"/>
          <w:b/>
          <w:bCs/>
          <w:i w:val="0"/>
          <w:iCs w:val="0"/>
          <w:caps/>
          <w:sz w:val="24"/>
          <w:szCs w:val="24"/>
          <w:u w:val="single"/>
          <w:lang w:val="en-US"/>
        </w:rPr>
        <w:t>D</w:t>
      </w:r>
      <w:r w:rsidR="00F6136F" w:rsidRPr="00301026">
        <w:rPr>
          <w:rStyle w:val="nfasis"/>
          <w:rFonts w:ascii="Times New Roman" w:hAnsi="Times New Roman" w:cs="Times New Roman"/>
          <w:b/>
          <w:bCs/>
          <w:i w:val="0"/>
          <w:iCs w:val="0"/>
          <w:caps/>
          <w:sz w:val="24"/>
          <w:szCs w:val="24"/>
          <w:u w:val="single"/>
          <w:lang w:val="en-US"/>
        </w:rPr>
        <w:t>iseases</w:t>
      </w:r>
      <w:r w:rsidRPr="00301026">
        <w:rPr>
          <w:rStyle w:val="nfasis"/>
          <w:rFonts w:ascii="Times New Roman" w:hAnsi="Times New Roman" w:cs="Times New Roman"/>
          <w:b/>
          <w:bCs/>
          <w:i w:val="0"/>
          <w:iCs w:val="0"/>
          <w:caps/>
          <w:sz w:val="24"/>
          <w:szCs w:val="24"/>
          <w:u w:val="single"/>
          <w:lang w:val="en-US"/>
        </w:rPr>
        <w:t>. Survival Study</w:t>
      </w:r>
    </w:p>
    <w:p w14:paraId="06BC7913" w14:textId="77777777" w:rsidR="00301026" w:rsidRPr="00301026" w:rsidRDefault="00301026" w:rsidP="001E46B4">
      <w:pPr>
        <w:pStyle w:val="Sinespaciado"/>
        <w:jc w:val="both"/>
        <w:rPr>
          <w:rStyle w:val="nfasis"/>
          <w:rFonts w:ascii="Times New Roman" w:hAnsi="Times New Roman" w:cs="Times New Roman"/>
          <w:b/>
          <w:bCs/>
          <w:i w:val="0"/>
          <w:iCs w:val="0"/>
          <w:caps/>
          <w:sz w:val="24"/>
          <w:szCs w:val="24"/>
          <w:u w:val="single"/>
          <w:lang w:val="en-US"/>
        </w:rPr>
      </w:pPr>
    </w:p>
    <w:p w14:paraId="1B99B562" w14:textId="4278CB0D" w:rsidR="001E46B4" w:rsidRPr="00301026" w:rsidRDefault="00301026" w:rsidP="001E46B4">
      <w:pPr>
        <w:pStyle w:val="Sinespaciado"/>
        <w:jc w:val="both"/>
        <w:rPr>
          <w:b/>
          <w:bCs/>
          <w:vertAlign w:val="superscript"/>
        </w:rPr>
      </w:pPr>
      <w:r w:rsidRPr="00301026">
        <w:rPr>
          <w:b/>
          <w:bCs/>
        </w:rPr>
        <w:t>Diego Fernando Dávila</w:t>
      </w:r>
      <w:r>
        <w:rPr>
          <w:b/>
          <w:bCs/>
          <w:vertAlign w:val="superscript"/>
        </w:rPr>
        <w:t>1</w:t>
      </w:r>
      <w:r w:rsidRPr="00301026">
        <w:rPr>
          <w:rFonts w:eastAsiaTheme="minorEastAsia"/>
          <w:b/>
          <w:bCs/>
        </w:rPr>
        <w:t xml:space="preserve"> </w:t>
      </w:r>
      <w:r w:rsidRPr="00301026">
        <w:rPr>
          <w:rFonts w:eastAsiaTheme="minorEastAsia"/>
          <w:b/>
          <w:bCs/>
        </w:rPr>
        <w:t>J</w:t>
      </w:r>
      <w:r w:rsidRPr="00301026">
        <w:rPr>
          <w:b/>
          <w:bCs/>
        </w:rPr>
        <w:t>ose Hipolito Donis Hernández</w:t>
      </w:r>
      <w:r w:rsidRPr="00301026">
        <w:rPr>
          <w:b/>
          <w:bCs/>
          <w:vertAlign w:val="superscript"/>
        </w:rPr>
        <w:t>1</w:t>
      </w:r>
      <w:r w:rsidRPr="00301026">
        <w:rPr>
          <w:b/>
          <w:bCs/>
        </w:rPr>
        <w:t xml:space="preserve"> </w:t>
      </w:r>
      <w:r w:rsidRPr="00301026">
        <w:rPr>
          <w:b/>
          <w:bCs/>
        </w:rPr>
        <w:t>Francisco Jose Sánchez Rivas</w:t>
      </w:r>
      <w:r w:rsidRPr="00301026">
        <w:rPr>
          <w:b/>
          <w:bCs/>
          <w:vertAlign w:val="superscript"/>
        </w:rPr>
        <w:t>1</w:t>
      </w:r>
      <w:r w:rsidRPr="00301026">
        <w:rPr>
          <w:b/>
          <w:bCs/>
        </w:rPr>
        <w:t xml:space="preserve"> </w:t>
      </w:r>
      <w:r w:rsidRPr="00301026">
        <w:rPr>
          <w:b/>
          <w:bCs/>
        </w:rPr>
        <w:t>Carmen Mazzei De Dávila</w:t>
      </w:r>
      <w:r>
        <w:rPr>
          <w:b/>
          <w:bCs/>
          <w:vertAlign w:val="superscript"/>
        </w:rPr>
        <w:t>2</w:t>
      </w:r>
      <w:r w:rsidRPr="00301026">
        <w:rPr>
          <w:b/>
          <w:bCs/>
        </w:rPr>
        <w:t>,</w:t>
      </w:r>
    </w:p>
    <w:p w14:paraId="36673766" w14:textId="77777777" w:rsidR="00301026" w:rsidRPr="008620DA" w:rsidRDefault="00301026" w:rsidP="00301026">
      <w:pPr>
        <w:pStyle w:val="05-SciencePG-Affiliation"/>
        <w:ind w:left="90" w:hanging="90"/>
        <w:rPr>
          <w:rFonts w:eastAsiaTheme="minorEastAsia"/>
        </w:rPr>
      </w:pPr>
      <w:r w:rsidRPr="008620DA">
        <w:rPr>
          <w:vertAlign w:val="superscript"/>
        </w:rPr>
        <w:t>1</w:t>
      </w:r>
      <w:r w:rsidRPr="008620DA">
        <w:rPr>
          <w:lang w:eastAsia="es-VE"/>
        </w:rPr>
        <w:t>Faculty of Medicine, Department Medicine, Cardiovascular Investigation Institute, The Andes University Hospital, The Andes University, Mérida, Venezuela</w:t>
      </w:r>
    </w:p>
    <w:p w14:paraId="73926569" w14:textId="6E59CEEB" w:rsidR="00301026" w:rsidRPr="008620DA" w:rsidRDefault="00301026" w:rsidP="00301026">
      <w:pPr>
        <w:pStyle w:val="05-SciencePG-Affiliation"/>
        <w:ind w:firstLineChars="0" w:firstLine="0"/>
        <w:rPr>
          <w:rFonts w:eastAsiaTheme="minorEastAsia"/>
        </w:rPr>
      </w:pPr>
      <w:r>
        <w:rPr>
          <w:vertAlign w:val="superscript"/>
          <w:lang w:eastAsia="es-VE"/>
        </w:rPr>
        <w:t>2</w:t>
      </w:r>
      <w:r w:rsidRPr="008620DA">
        <w:rPr>
          <w:vertAlign w:val="superscript"/>
          <w:lang w:eastAsia="es-VE"/>
        </w:rPr>
        <w:t>3</w:t>
      </w:r>
      <w:r w:rsidRPr="008620DA">
        <w:rPr>
          <w:lang w:eastAsia="es-VE"/>
        </w:rPr>
        <w:t>Department de Paediatrics</w:t>
      </w:r>
      <w:r w:rsidRPr="008620DA">
        <w:rPr>
          <w:rFonts w:eastAsiaTheme="minorEastAsia"/>
        </w:rPr>
        <w:t>,</w:t>
      </w:r>
      <w:r w:rsidRPr="008620DA">
        <w:rPr>
          <w:lang w:eastAsia="es-VE"/>
        </w:rPr>
        <w:t xml:space="preserve"> The Andes University Hospital, Mérida, Venezuela</w:t>
      </w:r>
    </w:p>
    <w:p w14:paraId="7454FDDB" w14:textId="77777777" w:rsidR="00301026" w:rsidRPr="00301026" w:rsidRDefault="00301026" w:rsidP="001E46B4">
      <w:pPr>
        <w:pStyle w:val="Sinespaciado"/>
        <w:jc w:val="both"/>
        <w:rPr>
          <w:rStyle w:val="nfasis"/>
          <w:rFonts w:ascii="Times New Roman" w:hAnsi="Times New Roman" w:cs="Times New Roman"/>
          <w:b/>
          <w:bCs/>
          <w:i w:val="0"/>
          <w:iCs w:val="0"/>
          <w:sz w:val="24"/>
          <w:szCs w:val="24"/>
          <w:u w:val="single"/>
          <w:lang w:val="en-GB"/>
        </w:rPr>
      </w:pPr>
    </w:p>
    <w:p w14:paraId="36DDE6BD" w14:textId="63130E45" w:rsidR="00F6136F" w:rsidRPr="00301026" w:rsidRDefault="00301026" w:rsidP="001E46B4">
      <w:pPr>
        <w:pStyle w:val="Sinespaciado"/>
        <w:jc w:val="both"/>
        <w:rPr>
          <w:rFonts w:ascii="Times New Roman" w:hAnsi="Times New Roman" w:cs="Times New Roman"/>
          <w:lang w:val="en-US"/>
        </w:rPr>
      </w:pPr>
      <w:r w:rsidRPr="00301026">
        <w:rPr>
          <w:rFonts w:ascii="Times New Roman" w:hAnsi="Times New Roman" w:cs="Times New Roman"/>
          <w:b/>
          <w:bCs/>
          <w:lang w:val="en-US"/>
        </w:rPr>
        <w:t>Summary</w:t>
      </w:r>
      <w:r>
        <w:rPr>
          <w:rFonts w:ascii="Times New Roman" w:hAnsi="Times New Roman" w:cs="Times New Roman"/>
          <w:lang w:val="en-US"/>
        </w:rPr>
        <w:t xml:space="preserve">. </w:t>
      </w:r>
      <w:r w:rsidR="00F6136F" w:rsidRPr="00301026">
        <w:rPr>
          <w:rFonts w:ascii="Times New Roman" w:hAnsi="Times New Roman" w:cs="Times New Roman"/>
          <w:lang w:val="en-US"/>
        </w:rPr>
        <w:t xml:space="preserve">The </w:t>
      </w:r>
      <w:r w:rsidR="003C48FF" w:rsidRPr="00301026">
        <w:rPr>
          <w:rFonts w:ascii="Times New Roman" w:hAnsi="Times New Roman" w:cs="Times New Roman"/>
          <w:lang w:val="en-US"/>
        </w:rPr>
        <w:t>autonomic</w:t>
      </w:r>
      <w:r w:rsidR="00F6136F" w:rsidRPr="00301026">
        <w:rPr>
          <w:rFonts w:ascii="Times New Roman" w:hAnsi="Times New Roman" w:cs="Times New Roman"/>
          <w:lang w:val="en-US"/>
        </w:rPr>
        <w:t xml:space="preserve"> nervous system, through its sympathetic and parasympathetic divisions, has a fundamental role in the pathogenesis of cardiac diseases. Acute and chronic left ventricular systolic dysfunction is present in diseases such as:  Acute </w:t>
      </w:r>
      <w:r w:rsidR="006D43C0" w:rsidRPr="00301026">
        <w:rPr>
          <w:rFonts w:ascii="Times New Roman" w:hAnsi="Times New Roman" w:cs="Times New Roman"/>
          <w:lang w:val="en-US"/>
        </w:rPr>
        <w:t>decompensation</w:t>
      </w:r>
      <w:r w:rsidR="00F6136F" w:rsidRPr="00301026">
        <w:rPr>
          <w:rFonts w:ascii="Times New Roman" w:hAnsi="Times New Roman" w:cs="Times New Roman"/>
          <w:lang w:val="en-US"/>
        </w:rPr>
        <w:t xml:space="preserve"> of chronic</w:t>
      </w:r>
      <w:r w:rsidR="006D43C0" w:rsidRPr="00301026">
        <w:rPr>
          <w:rFonts w:ascii="Times New Roman" w:hAnsi="Times New Roman" w:cs="Times New Roman"/>
          <w:lang w:val="en-US"/>
        </w:rPr>
        <w:t xml:space="preserve"> </w:t>
      </w:r>
      <w:r w:rsidR="00F6136F" w:rsidRPr="00301026">
        <w:rPr>
          <w:rFonts w:ascii="Times New Roman" w:hAnsi="Times New Roman" w:cs="Times New Roman"/>
          <w:lang w:val="en-US"/>
        </w:rPr>
        <w:t>congestive heart failure and Systolic heart failure of etiology. All t</w:t>
      </w:r>
      <w:r w:rsidR="00E416CD" w:rsidRPr="00301026">
        <w:rPr>
          <w:rFonts w:ascii="Times New Roman" w:hAnsi="Times New Roman" w:cs="Times New Roman"/>
          <w:lang w:val="en-US"/>
        </w:rPr>
        <w:t>wo</w:t>
      </w:r>
      <w:r w:rsidR="00F6136F" w:rsidRPr="00301026">
        <w:rPr>
          <w:rFonts w:ascii="Times New Roman" w:hAnsi="Times New Roman" w:cs="Times New Roman"/>
          <w:lang w:val="en-US"/>
        </w:rPr>
        <w:t xml:space="preserve"> diseases have sympathetic </w:t>
      </w:r>
      <w:r w:rsidR="006D43C0" w:rsidRPr="00301026">
        <w:rPr>
          <w:rFonts w:ascii="Times New Roman" w:hAnsi="Times New Roman" w:cs="Times New Roman"/>
          <w:lang w:val="en-US"/>
        </w:rPr>
        <w:t>hyperactive, as</w:t>
      </w:r>
      <w:r w:rsidR="00F6136F" w:rsidRPr="00301026">
        <w:rPr>
          <w:rFonts w:ascii="Times New Roman" w:hAnsi="Times New Roman" w:cs="Times New Roman"/>
          <w:lang w:val="en-US"/>
        </w:rPr>
        <w:t xml:space="preserve">, </w:t>
      </w:r>
      <w:r w:rsidR="006D43C0" w:rsidRPr="00301026">
        <w:rPr>
          <w:rFonts w:ascii="Times New Roman" w:hAnsi="Times New Roman" w:cs="Times New Roman"/>
          <w:lang w:val="en-US"/>
        </w:rPr>
        <w:t>a</w:t>
      </w:r>
      <w:r w:rsidR="00F6136F" w:rsidRPr="00301026">
        <w:rPr>
          <w:rFonts w:ascii="Times New Roman" w:hAnsi="Times New Roman" w:cs="Times New Roman"/>
          <w:lang w:val="en-US"/>
        </w:rPr>
        <w:t xml:space="preserve"> common denominator. We, at the Instituto of </w:t>
      </w:r>
      <w:r w:rsidR="006D43C0" w:rsidRPr="00301026">
        <w:rPr>
          <w:rFonts w:ascii="Times New Roman" w:hAnsi="Times New Roman" w:cs="Times New Roman"/>
          <w:lang w:val="en-US"/>
        </w:rPr>
        <w:t>Investigations</w:t>
      </w:r>
      <w:r w:rsidR="00F6136F" w:rsidRPr="00301026">
        <w:rPr>
          <w:rFonts w:ascii="Times New Roman" w:hAnsi="Times New Roman" w:cs="Times New Roman"/>
          <w:lang w:val="en-US"/>
        </w:rPr>
        <w:t xml:space="preserve"> </w:t>
      </w:r>
      <w:r w:rsidR="006D43C0" w:rsidRPr="00301026">
        <w:rPr>
          <w:rFonts w:ascii="Times New Roman" w:hAnsi="Times New Roman" w:cs="Times New Roman"/>
          <w:lang w:val="en-US"/>
        </w:rPr>
        <w:t>Cardiovascular</w:t>
      </w:r>
      <w:r w:rsidR="00F6136F" w:rsidRPr="00301026">
        <w:rPr>
          <w:rFonts w:ascii="Times New Roman" w:hAnsi="Times New Roman" w:cs="Times New Roman"/>
          <w:lang w:val="en-US"/>
        </w:rPr>
        <w:t xml:space="preserve"> of la Universidad de Los Andes, have</w:t>
      </w:r>
      <w:r w:rsidR="006D43C0" w:rsidRPr="00301026">
        <w:rPr>
          <w:rFonts w:ascii="Times New Roman" w:hAnsi="Times New Roman" w:cs="Times New Roman"/>
          <w:lang w:val="en-US"/>
        </w:rPr>
        <w:t xml:space="preserve"> </w:t>
      </w:r>
      <w:r w:rsidR="00F6136F" w:rsidRPr="00301026">
        <w:rPr>
          <w:rFonts w:ascii="Times New Roman" w:hAnsi="Times New Roman" w:cs="Times New Roman"/>
          <w:lang w:val="en-US"/>
        </w:rPr>
        <w:t xml:space="preserve">conceived therapeutic strategies aimed at counteracting </w:t>
      </w:r>
      <w:r w:rsidR="006D43C0" w:rsidRPr="00301026">
        <w:rPr>
          <w:rFonts w:ascii="Times New Roman" w:hAnsi="Times New Roman" w:cs="Times New Roman"/>
          <w:lang w:val="en-US"/>
        </w:rPr>
        <w:t>this autonomic</w:t>
      </w:r>
      <w:r w:rsidR="00F6136F" w:rsidRPr="00301026">
        <w:rPr>
          <w:rFonts w:ascii="Times New Roman" w:hAnsi="Times New Roman" w:cs="Times New Roman"/>
          <w:lang w:val="en-US"/>
        </w:rPr>
        <w:t xml:space="preserve"> abnormality. Therefore, the purpose of this revision</w:t>
      </w:r>
    </w:p>
    <w:p w14:paraId="375DD56B" w14:textId="77777777" w:rsidR="001E46B4" w:rsidRPr="00601503" w:rsidRDefault="001E46B4" w:rsidP="001E46B4">
      <w:pPr>
        <w:pStyle w:val="Sinespaciado"/>
        <w:jc w:val="both"/>
        <w:rPr>
          <w:lang w:val="en-US"/>
        </w:rPr>
      </w:pPr>
    </w:p>
    <w:p w14:paraId="79E9C00A" w14:textId="77777777" w:rsidR="00F6136F" w:rsidRPr="00601503" w:rsidRDefault="00F6136F" w:rsidP="00F6136F">
      <w:pPr>
        <w:autoSpaceDE w:val="0"/>
        <w:autoSpaceDN w:val="0"/>
        <w:adjustRightInd w:val="0"/>
        <w:spacing w:after="0" w:line="276" w:lineRule="auto"/>
        <w:jc w:val="both"/>
        <w:rPr>
          <w:rFonts w:ascii="Times New Roman" w:hAnsi="Times New Roman" w:cs="Times New Roman"/>
          <w:b/>
          <w:bCs/>
          <w:sz w:val="24"/>
          <w:szCs w:val="24"/>
          <w:lang w:val="en-US"/>
        </w:rPr>
      </w:pPr>
      <w:r w:rsidRPr="00601503">
        <w:rPr>
          <w:rFonts w:ascii="Times New Roman" w:hAnsi="Times New Roman" w:cs="Times New Roman"/>
          <w:b/>
          <w:bCs/>
          <w:sz w:val="24"/>
          <w:szCs w:val="24"/>
          <w:lang w:val="en-US"/>
        </w:rPr>
        <w:t>CORRESPONDENCIA</w:t>
      </w:r>
    </w:p>
    <w:p w14:paraId="1779489B" w14:textId="3F8A5072" w:rsidR="00F6136F" w:rsidRPr="000413CE" w:rsidRDefault="00F6136F" w:rsidP="00F6136F">
      <w:pPr>
        <w:autoSpaceDE w:val="0"/>
        <w:autoSpaceDN w:val="0"/>
        <w:adjustRightInd w:val="0"/>
        <w:spacing w:after="0" w:line="276" w:lineRule="auto"/>
        <w:jc w:val="both"/>
        <w:rPr>
          <w:rFonts w:ascii="Times New Roman" w:hAnsi="Times New Roman" w:cs="Times New Roman"/>
          <w:b/>
          <w:bCs/>
          <w:sz w:val="24"/>
          <w:szCs w:val="24"/>
          <w:lang w:val="en-US"/>
        </w:rPr>
      </w:pPr>
      <w:r w:rsidRPr="000413CE">
        <w:rPr>
          <w:rFonts w:ascii="Times New Roman" w:hAnsi="Times New Roman" w:cs="Times New Roman"/>
          <w:b/>
          <w:bCs/>
          <w:sz w:val="24"/>
          <w:szCs w:val="24"/>
          <w:lang w:val="en-US"/>
        </w:rPr>
        <w:t>Dr. Jose Hipolito Donis</w:t>
      </w:r>
    </w:p>
    <w:p w14:paraId="4C4CA8F0" w14:textId="77777777" w:rsidR="001E46B4" w:rsidRPr="000413CE" w:rsidRDefault="00F6136F" w:rsidP="00F6136F">
      <w:pPr>
        <w:autoSpaceDE w:val="0"/>
        <w:autoSpaceDN w:val="0"/>
        <w:adjustRightInd w:val="0"/>
        <w:spacing w:after="0" w:line="276" w:lineRule="auto"/>
        <w:jc w:val="both"/>
        <w:rPr>
          <w:rFonts w:ascii="Times New Roman" w:hAnsi="Times New Roman" w:cs="Times New Roman"/>
          <w:b/>
          <w:bCs/>
          <w:sz w:val="24"/>
          <w:szCs w:val="24"/>
        </w:rPr>
      </w:pPr>
      <w:r w:rsidRPr="000413CE">
        <w:rPr>
          <w:rFonts w:ascii="Times New Roman" w:hAnsi="Times New Roman" w:cs="Times New Roman"/>
          <w:b/>
          <w:bCs/>
          <w:sz w:val="24"/>
          <w:szCs w:val="24"/>
        </w:rPr>
        <w:t>Apartado Postal 312. Mérida-</w:t>
      </w:r>
      <w:r w:rsidR="00E416CD" w:rsidRPr="000413CE">
        <w:rPr>
          <w:rFonts w:ascii="Times New Roman" w:hAnsi="Times New Roman" w:cs="Times New Roman"/>
          <w:b/>
          <w:bCs/>
          <w:sz w:val="24"/>
          <w:szCs w:val="24"/>
        </w:rPr>
        <w:t>Mérida</w:t>
      </w:r>
      <w:r w:rsidRPr="000413CE">
        <w:rPr>
          <w:rFonts w:ascii="Times New Roman" w:hAnsi="Times New Roman" w:cs="Times New Roman"/>
          <w:b/>
          <w:bCs/>
          <w:sz w:val="24"/>
          <w:szCs w:val="24"/>
        </w:rPr>
        <w:t xml:space="preserve"> </w:t>
      </w:r>
    </w:p>
    <w:p w14:paraId="22E31749" w14:textId="331F2148" w:rsidR="00F6136F" w:rsidRPr="000413CE" w:rsidRDefault="00F6136F" w:rsidP="00F6136F">
      <w:pPr>
        <w:autoSpaceDE w:val="0"/>
        <w:autoSpaceDN w:val="0"/>
        <w:adjustRightInd w:val="0"/>
        <w:spacing w:after="0" w:line="276" w:lineRule="auto"/>
        <w:jc w:val="both"/>
        <w:rPr>
          <w:rFonts w:ascii="Times New Roman" w:hAnsi="Times New Roman" w:cs="Times New Roman"/>
          <w:b/>
          <w:bCs/>
          <w:sz w:val="24"/>
          <w:szCs w:val="24"/>
        </w:rPr>
      </w:pPr>
      <w:r w:rsidRPr="000413CE">
        <w:rPr>
          <w:rFonts w:ascii="Times New Roman" w:hAnsi="Times New Roman" w:cs="Times New Roman"/>
          <w:b/>
          <w:bCs/>
          <w:sz w:val="24"/>
          <w:szCs w:val="24"/>
        </w:rPr>
        <w:t>Venezuela 5101</w:t>
      </w:r>
    </w:p>
    <w:p w14:paraId="7D010F1A" w14:textId="5F6417A5" w:rsidR="00F6136F" w:rsidRPr="000413CE" w:rsidRDefault="00F6136F" w:rsidP="00F6136F">
      <w:pPr>
        <w:autoSpaceDE w:val="0"/>
        <w:autoSpaceDN w:val="0"/>
        <w:adjustRightInd w:val="0"/>
        <w:spacing w:after="0" w:line="276" w:lineRule="auto"/>
        <w:jc w:val="both"/>
        <w:rPr>
          <w:rFonts w:ascii="Times New Roman" w:hAnsi="Times New Roman" w:cs="Times New Roman"/>
          <w:b/>
          <w:bCs/>
          <w:sz w:val="24"/>
          <w:szCs w:val="24"/>
        </w:rPr>
      </w:pPr>
      <w:r w:rsidRPr="000413CE">
        <w:rPr>
          <w:rFonts w:ascii="Times New Roman" w:hAnsi="Times New Roman" w:cs="Times New Roman"/>
          <w:b/>
          <w:bCs/>
          <w:sz w:val="24"/>
          <w:szCs w:val="24"/>
        </w:rPr>
        <w:t>Tel: +58-414-7227674</w:t>
      </w:r>
    </w:p>
    <w:p w14:paraId="5FCE55A0" w14:textId="2CB8CC26" w:rsidR="00F6136F" w:rsidRPr="000413CE" w:rsidRDefault="00F6136F" w:rsidP="00F6136F">
      <w:pPr>
        <w:autoSpaceDE w:val="0"/>
        <w:autoSpaceDN w:val="0"/>
        <w:adjustRightInd w:val="0"/>
        <w:spacing w:after="0" w:line="276" w:lineRule="auto"/>
        <w:jc w:val="both"/>
        <w:rPr>
          <w:rFonts w:ascii="Times New Roman" w:hAnsi="Times New Roman" w:cs="Times New Roman"/>
          <w:sz w:val="24"/>
          <w:szCs w:val="24"/>
        </w:rPr>
      </w:pPr>
      <w:r w:rsidRPr="000413CE">
        <w:rPr>
          <w:rFonts w:ascii="Times New Roman" w:hAnsi="Times New Roman" w:cs="Times New Roman"/>
          <w:sz w:val="24"/>
          <w:szCs w:val="24"/>
        </w:rPr>
        <w:t xml:space="preserve">E-mail: </w:t>
      </w:r>
      <w:hyperlink r:id="rId5" w:history="1">
        <w:r w:rsidRPr="000413CE">
          <w:rPr>
            <w:rStyle w:val="Hipervnculo"/>
            <w:rFonts w:ascii="Times New Roman" w:hAnsi="Times New Roman" w:cs="Times New Roman"/>
            <w:sz w:val="24"/>
            <w:szCs w:val="24"/>
          </w:rPr>
          <w:t>donis_jose@hotmail.com</w:t>
        </w:r>
      </w:hyperlink>
    </w:p>
    <w:p w14:paraId="73B0AA0B" w14:textId="6966F7B3" w:rsidR="00F6136F" w:rsidRPr="00601503" w:rsidRDefault="00F6136F" w:rsidP="00F6136F">
      <w:pPr>
        <w:autoSpaceDE w:val="0"/>
        <w:autoSpaceDN w:val="0"/>
        <w:adjustRightInd w:val="0"/>
        <w:spacing w:after="0" w:line="276" w:lineRule="auto"/>
        <w:jc w:val="both"/>
        <w:rPr>
          <w:rFonts w:ascii="Times New Roman" w:hAnsi="Times New Roman" w:cs="Times New Roman"/>
          <w:b/>
          <w:bCs/>
          <w:sz w:val="24"/>
          <w:szCs w:val="24"/>
        </w:rPr>
      </w:pPr>
      <w:r w:rsidRPr="00601503">
        <w:rPr>
          <w:rFonts w:ascii="Times New Roman" w:hAnsi="Times New Roman" w:cs="Times New Roman"/>
          <w:b/>
          <w:bCs/>
          <w:sz w:val="24"/>
          <w:szCs w:val="24"/>
        </w:rPr>
        <w:t>DECLARACIÓN DE CONFLICTO DE INTERÉS DE</w:t>
      </w:r>
      <w:r w:rsidR="00E416CD" w:rsidRPr="00601503">
        <w:rPr>
          <w:rFonts w:ascii="Times New Roman" w:hAnsi="Times New Roman" w:cs="Times New Roman"/>
          <w:b/>
          <w:bCs/>
          <w:sz w:val="24"/>
          <w:szCs w:val="24"/>
        </w:rPr>
        <w:t xml:space="preserve"> </w:t>
      </w:r>
      <w:r w:rsidRPr="00601503">
        <w:rPr>
          <w:rFonts w:ascii="Times New Roman" w:hAnsi="Times New Roman" w:cs="Times New Roman"/>
          <w:b/>
          <w:bCs/>
          <w:sz w:val="24"/>
          <w:szCs w:val="24"/>
        </w:rPr>
        <w:t>LOS AUTORES:</w:t>
      </w:r>
    </w:p>
    <w:p w14:paraId="5B78601B" w14:textId="77777777" w:rsidR="00F6136F" w:rsidRPr="00601503" w:rsidRDefault="00F6136F" w:rsidP="00F6136F">
      <w:pPr>
        <w:autoSpaceDE w:val="0"/>
        <w:autoSpaceDN w:val="0"/>
        <w:adjustRightInd w:val="0"/>
        <w:spacing w:after="0" w:line="276" w:lineRule="auto"/>
        <w:jc w:val="both"/>
        <w:rPr>
          <w:rFonts w:ascii="Times New Roman" w:hAnsi="Times New Roman" w:cs="Times New Roman"/>
          <w:sz w:val="24"/>
          <w:szCs w:val="24"/>
        </w:rPr>
      </w:pPr>
      <w:r w:rsidRPr="00601503">
        <w:rPr>
          <w:rFonts w:ascii="Times New Roman" w:hAnsi="Times New Roman" w:cs="Times New Roman"/>
          <w:sz w:val="24"/>
          <w:szCs w:val="24"/>
        </w:rPr>
        <w:t>Sin conflicto declarado por los autores.</w:t>
      </w:r>
    </w:p>
    <w:p w14:paraId="1A4EAC97" w14:textId="1812915F" w:rsidR="00F6136F" w:rsidRPr="00D87203" w:rsidRDefault="00F6136F" w:rsidP="00D87203">
      <w:pPr>
        <w:tabs>
          <w:tab w:val="left" w:pos="7230"/>
        </w:tabs>
        <w:autoSpaceDE w:val="0"/>
        <w:autoSpaceDN w:val="0"/>
        <w:adjustRightInd w:val="0"/>
        <w:spacing w:after="0" w:line="276" w:lineRule="auto"/>
        <w:jc w:val="both"/>
        <w:rPr>
          <w:rFonts w:ascii="Times New Roman" w:hAnsi="Times New Roman" w:cs="Times New Roman"/>
          <w:i/>
          <w:iCs/>
          <w:sz w:val="24"/>
          <w:szCs w:val="24"/>
          <w:lang w:val="en-US"/>
        </w:rPr>
      </w:pPr>
      <w:r w:rsidRPr="00601503">
        <w:rPr>
          <w:rFonts w:ascii="Times New Roman" w:hAnsi="Times New Roman" w:cs="Times New Roman"/>
          <w:b/>
          <w:bCs/>
          <w:sz w:val="24"/>
          <w:szCs w:val="24"/>
          <w:lang w:val="en-US"/>
        </w:rPr>
        <w:t>Key words:</w:t>
      </w:r>
      <w:r w:rsidR="00D87203">
        <w:rPr>
          <w:rFonts w:ascii="Times New Roman" w:hAnsi="Times New Roman" w:cs="Times New Roman"/>
          <w:b/>
          <w:bCs/>
          <w:sz w:val="24"/>
          <w:szCs w:val="24"/>
          <w:lang w:val="en-US"/>
        </w:rPr>
        <w:t xml:space="preserve"> </w:t>
      </w:r>
      <w:r w:rsidR="00D87203" w:rsidRPr="00D87203">
        <w:rPr>
          <w:rFonts w:ascii="Times New Roman" w:hAnsi="Times New Roman" w:cs="Times New Roman"/>
          <w:sz w:val="24"/>
          <w:szCs w:val="24"/>
          <w:lang w:val="en-US"/>
        </w:rPr>
        <w:t>Decompensated</w:t>
      </w:r>
      <w:r w:rsidR="001E46B4" w:rsidRPr="00D87203">
        <w:rPr>
          <w:rFonts w:ascii="Times New Roman" w:hAnsi="Times New Roman" w:cs="Times New Roman"/>
          <w:sz w:val="24"/>
          <w:szCs w:val="24"/>
          <w:lang w:val="en-US"/>
        </w:rPr>
        <w:t xml:space="preserve"> </w:t>
      </w:r>
      <w:r w:rsidR="00D87203" w:rsidRPr="00D87203">
        <w:rPr>
          <w:rFonts w:ascii="Times New Roman" w:hAnsi="Times New Roman" w:cs="Times New Roman"/>
          <w:sz w:val="24"/>
          <w:szCs w:val="24"/>
          <w:lang w:val="en-US"/>
        </w:rPr>
        <w:t>heart failure</w:t>
      </w:r>
      <w:r w:rsidR="0095042F" w:rsidRPr="00D87203">
        <w:rPr>
          <w:rFonts w:ascii="Times New Roman" w:hAnsi="Times New Roman" w:cs="Times New Roman"/>
          <w:sz w:val="24"/>
          <w:szCs w:val="24"/>
          <w:lang w:val="en-US"/>
        </w:rPr>
        <w:t xml:space="preserve">, </w:t>
      </w:r>
      <w:r w:rsidR="00D87203" w:rsidRPr="00D87203">
        <w:rPr>
          <w:rFonts w:ascii="Times New Roman" w:hAnsi="Times New Roman" w:cs="Times New Roman"/>
          <w:sz w:val="24"/>
          <w:szCs w:val="24"/>
          <w:lang w:val="en-US"/>
        </w:rPr>
        <w:t>F</w:t>
      </w:r>
      <w:r w:rsidR="001E46B4" w:rsidRPr="00D87203">
        <w:rPr>
          <w:rFonts w:ascii="Times New Roman" w:hAnsi="Times New Roman" w:cs="Times New Roman"/>
          <w:sz w:val="24"/>
          <w:szCs w:val="24"/>
          <w:lang w:val="en-US"/>
        </w:rPr>
        <w:t>urosemide</w:t>
      </w:r>
      <w:r w:rsidR="00D87203">
        <w:rPr>
          <w:rFonts w:ascii="Times New Roman" w:hAnsi="Times New Roman" w:cs="Times New Roman"/>
          <w:sz w:val="24"/>
          <w:szCs w:val="24"/>
          <w:lang w:val="en-US"/>
        </w:rPr>
        <w:t>, C</w:t>
      </w:r>
      <w:r w:rsidR="00D87203" w:rsidRPr="00D87203">
        <w:rPr>
          <w:rFonts w:ascii="Times New Roman" w:hAnsi="Times New Roman" w:cs="Times New Roman"/>
          <w:sz w:val="24"/>
          <w:szCs w:val="24"/>
          <w:lang w:val="en-US"/>
        </w:rPr>
        <w:t xml:space="preserve">arvedilol </w:t>
      </w:r>
      <w:r w:rsidR="00D87203">
        <w:rPr>
          <w:rFonts w:ascii="Times New Roman" w:hAnsi="Times New Roman" w:cs="Times New Roman"/>
          <w:sz w:val="24"/>
          <w:szCs w:val="24"/>
          <w:lang w:val="en-US"/>
        </w:rPr>
        <w:t>N</w:t>
      </w:r>
      <w:r w:rsidR="0095042F" w:rsidRPr="00D87203">
        <w:rPr>
          <w:rFonts w:ascii="Times New Roman" w:hAnsi="Times New Roman" w:cs="Times New Roman"/>
          <w:sz w:val="24"/>
          <w:szCs w:val="24"/>
          <w:lang w:val="en-US"/>
        </w:rPr>
        <w:t>eurohormonal</w:t>
      </w:r>
      <w:r w:rsidRPr="00D87203">
        <w:rPr>
          <w:rFonts w:ascii="Times New Roman" w:hAnsi="Times New Roman" w:cs="Times New Roman"/>
          <w:sz w:val="24"/>
          <w:szCs w:val="24"/>
          <w:lang w:val="en-US"/>
        </w:rPr>
        <w:t xml:space="preserve"> </w:t>
      </w:r>
      <w:r w:rsidR="000413CE" w:rsidRPr="00D87203">
        <w:rPr>
          <w:rFonts w:ascii="Times New Roman" w:hAnsi="Times New Roman" w:cs="Times New Roman"/>
          <w:sz w:val="24"/>
          <w:szCs w:val="24"/>
          <w:lang w:val="en-US"/>
        </w:rPr>
        <w:t>activation,</w:t>
      </w:r>
      <w:r w:rsidR="000413CE">
        <w:rPr>
          <w:rFonts w:ascii="Times New Roman" w:hAnsi="Times New Roman" w:cs="Times New Roman"/>
          <w:sz w:val="24"/>
          <w:szCs w:val="24"/>
          <w:lang w:val="en-US"/>
        </w:rPr>
        <w:t xml:space="preserve"> </w:t>
      </w:r>
      <w:r w:rsidR="000413CE" w:rsidRPr="00D87203">
        <w:rPr>
          <w:rFonts w:ascii="Times New Roman" w:hAnsi="Times New Roman" w:cs="Times New Roman"/>
          <w:sz w:val="24"/>
          <w:szCs w:val="24"/>
          <w:lang w:val="en-US"/>
        </w:rPr>
        <w:t>Beta</w:t>
      </w:r>
      <w:r w:rsidRPr="00D87203">
        <w:rPr>
          <w:rFonts w:ascii="Times New Roman" w:hAnsi="Times New Roman" w:cs="Times New Roman"/>
          <w:sz w:val="24"/>
          <w:szCs w:val="24"/>
          <w:lang w:val="en-US"/>
        </w:rPr>
        <w:t xml:space="preserve"> blockers.</w:t>
      </w:r>
      <w:r w:rsidR="000413CE">
        <w:rPr>
          <w:rFonts w:ascii="Times New Roman" w:hAnsi="Times New Roman" w:cs="Times New Roman"/>
          <w:sz w:val="24"/>
          <w:szCs w:val="24"/>
          <w:lang w:val="en-US"/>
        </w:rPr>
        <w:t xml:space="preserve">, </w:t>
      </w:r>
      <w:r w:rsidR="00D87203" w:rsidRPr="00D87203">
        <w:rPr>
          <w:rFonts w:ascii="Times New Roman" w:hAnsi="Times New Roman" w:cs="Times New Roman"/>
          <w:sz w:val="24"/>
          <w:szCs w:val="24"/>
          <w:lang w:val="en-US"/>
        </w:rPr>
        <w:t>Norepinephrine</w:t>
      </w:r>
    </w:p>
    <w:p w14:paraId="45D484E1" w14:textId="77777777" w:rsidR="001E46B4" w:rsidRPr="00D87203" w:rsidRDefault="001E46B4" w:rsidP="00601503">
      <w:pPr>
        <w:jc w:val="both"/>
        <w:rPr>
          <w:rFonts w:ascii="Times New Roman" w:hAnsi="Times New Roman" w:cs="Times New Roman"/>
          <w:sz w:val="24"/>
          <w:szCs w:val="24"/>
          <w:lang w:val="en-US"/>
        </w:rPr>
      </w:pPr>
    </w:p>
    <w:p w14:paraId="0195E1E3" w14:textId="3B4AF638" w:rsidR="00601503" w:rsidRPr="00D46C4B" w:rsidRDefault="00E60B99" w:rsidP="00601503">
      <w:pPr>
        <w:jc w:val="both"/>
        <w:rPr>
          <w:rFonts w:ascii="Times New Roman" w:hAnsi="Times New Roman" w:cs="Times New Roman"/>
          <w:b/>
          <w:bCs/>
          <w:caps/>
          <w:sz w:val="24"/>
          <w:szCs w:val="24"/>
          <w:lang w:val="en-US"/>
        </w:rPr>
      </w:pPr>
      <w:r w:rsidRPr="00D46C4B">
        <w:rPr>
          <w:rFonts w:ascii="Times New Roman" w:hAnsi="Times New Roman" w:cs="Times New Roman"/>
          <w:b/>
          <w:bCs/>
          <w:caps/>
          <w:sz w:val="24"/>
          <w:szCs w:val="24"/>
          <w:lang w:val="en-US"/>
        </w:rPr>
        <w:t xml:space="preserve">Review </w:t>
      </w:r>
      <w:r w:rsidR="00601503" w:rsidRPr="00D46C4B">
        <w:rPr>
          <w:rFonts w:ascii="Times New Roman" w:hAnsi="Times New Roman" w:cs="Times New Roman"/>
          <w:b/>
          <w:bCs/>
          <w:caps/>
          <w:sz w:val="24"/>
          <w:szCs w:val="24"/>
          <w:lang w:val="en-US"/>
        </w:rPr>
        <w:t>in extent</w:t>
      </w:r>
    </w:p>
    <w:p w14:paraId="327A4CCE" w14:textId="6AA513DC" w:rsidR="009C7D81" w:rsidRDefault="007C4DC7" w:rsidP="003D0B54">
      <w:pPr>
        <w:pStyle w:val="20-SciencePG-Text"/>
        <w:ind w:firstLineChars="0" w:firstLine="708"/>
        <w:rPr>
          <w:sz w:val="24"/>
          <w:szCs w:val="24"/>
        </w:rPr>
      </w:pPr>
      <w:r w:rsidRPr="00D87203">
        <w:rPr>
          <w:snapToGrid w:val="0"/>
          <w:sz w:val="24"/>
          <w:szCs w:val="24"/>
        </w:rPr>
        <w:t xml:space="preserve">The natural history of patients with chronic systolic heart failure is characterized by the recurrence of congestive signs and </w:t>
      </w:r>
      <w:r w:rsidR="00900019" w:rsidRPr="00D87203">
        <w:rPr>
          <w:snapToGrid w:val="0"/>
          <w:sz w:val="24"/>
          <w:szCs w:val="24"/>
        </w:rPr>
        <w:t>symptoms [</w:t>
      </w:r>
      <w:r w:rsidRPr="00D87203">
        <w:rPr>
          <w:snapToGrid w:val="0"/>
          <w:sz w:val="24"/>
          <w:szCs w:val="24"/>
        </w:rPr>
        <w:t xml:space="preserve">1] </w:t>
      </w:r>
      <w:r w:rsidR="00601503" w:rsidRPr="00D87203">
        <w:rPr>
          <w:sz w:val="24"/>
          <w:szCs w:val="24"/>
        </w:rPr>
        <w:t>R</w:t>
      </w:r>
      <w:r w:rsidR="007E3B2A" w:rsidRPr="00D87203">
        <w:rPr>
          <w:color w:val="000000"/>
          <w:sz w:val="24"/>
          <w:szCs w:val="24"/>
        </w:rPr>
        <w:t xml:space="preserve">ecurrent episodes of acutely decompensated heart failure are a public health problem </w:t>
      </w:r>
      <w:r w:rsidR="007E3B2A" w:rsidRPr="00D87203">
        <w:rPr>
          <w:color w:val="0000FF"/>
          <w:sz w:val="24"/>
          <w:szCs w:val="24"/>
        </w:rPr>
        <w:t>[</w:t>
      </w:r>
      <w:r w:rsidRPr="00D87203">
        <w:rPr>
          <w:color w:val="0000FF"/>
          <w:sz w:val="24"/>
          <w:szCs w:val="24"/>
        </w:rPr>
        <w:t>2</w:t>
      </w:r>
      <w:r w:rsidR="007E3B2A" w:rsidRPr="00D87203">
        <w:rPr>
          <w:color w:val="0000FF"/>
          <w:sz w:val="24"/>
          <w:szCs w:val="24"/>
        </w:rPr>
        <w:t>]</w:t>
      </w:r>
      <w:r w:rsidR="007E3B2A" w:rsidRPr="00D87203">
        <w:rPr>
          <w:color w:val="000000"/>
          <w:sz w:val="24"/>
          <w:szCs w:val="24"/>
        </w:rPr>
        <w:t xml:space="preserve">. </w:t>
      </w:r>
      <w:r w:rsidR="007E3B2A" w:rsidRPr="00D87203">
        <w:rPr>
          <w:snapToGrid w:val="0"/>
          <w:sz w:val="24"/>
          <w:szCs w:val="24"/>
        </w:rPr>
        <w:t xml:space="preserve">These episodes, of acutely decompensated heart failure, appear within one hundred days to six months post-discharge and are associated to diminished survival </w:t>
      </w:r>
      <w:r w:rsidR="00FD066C">
        <w:rPr>
          <w:snapToGrid w:val="0"/>
          <w:sz w:val="24"/>
          <w:szCs w:val="24"/>
        </w:rPr>
        <w:t>[</w:t>
      </w:r>
      <w:r w:rsidR="003958AF">
        <w:rPr>
          <w:snapToGrid w:val="0"/>
          <w:sz w:val="24"/>
          <w:szCs w:val="24"/>
        </w:rPr>
        <w:t>3</w:t>
      </w:r>
      <w:r w:rsidR="00FD066C">
        <w:rPr>
          <w:snapToGrid w:val="0"/>
          <w:sz w:val="24"/>
          <w:szCs w:val="24"/>
        </w:rPr>
        <w:t>-</w:t>
      </w:r>
      <w:r w:rsidR="00B57078">
        <w:rPr>
          <w:snapToGrid w:val="0"/>
          <w:sz w:val="24"/>
          <w:szCs w:val="24"/>
        </w:rPr>
        <w:t>4</w:t>
      </w:r>
      <w:r w:rsidR="007E3B2A" w:rsidRPr="00D87203">
        <w:rPr>
          <w:snapToGrid w:val="0"/>
          <w:sz w:val="24"/>
          <w:szCs w:val="24"/>
        </w:rPr>
        <w:t>].</w:t>
      </w:r>
      <w:r w:rsidR="007E3B2A" w:rsidRPr="00D87203">
        <w:rPr>
          <w:color w:val="000000"/>
          <w:sz w:val="24"/>
          <w:szCs w:val="24"/>
        </w:rPr>
        <w:t xml:space="preserve"> Current therapeutic strategies increase mortality and enhance neurohormonal activation </w:t>
      </w:r>
      <w:r w:rsidR="007E3B2A" w:rsidRPr="00D87203">
        <w:rPr>
          <w:color w:val="0000FF"/>
          <w:sz w:val="24"/>
          <w:szCs w:val="24"/>
        </w:rPr>
        <w:t>[</w:t>
      </w:r>
      <w:r w:rsidR="00984553">
        <w:rPr>
          <w:color w:val="0000FF"/>
          <w:sz w:val="24"/>
          <w:szCs w:val="24"/>
        </w:rPr>
        <w:t>2</w:t>
      </w:r>
      <w:r w:rsidR="007E3B2A" w:rsidRPr="00D87203">
        <w:rPr>
          <w:color w:val="0000FF"/>
          <w:sz w:val="24"/>
          <w:szCs w:val="24"/>
        </w:rPr>
        <w:t>–</w:t>
      </w:r>
      <w:r w:rsidR="000D5F09" w:rsidRPr="00D87203">
        <w:rPr>
          <w:color w:val="0000FF"/>
          <w:sz w:val="24"/>
          <w:szCs w:val="24"/>
        </w:rPr>
        <w:t>7</w:t>
      </w:r>
      <w:r w:rsidR="007E3B2A" w:rsidRPr="00D87203">
        <w:rPr>
          <w:color w:val="0000FF"/>
          <w:sz w:val="24"/>
          <w:szCs w:val="24"/>
        </w:rPr>
        <w:t>]</w:t>
      </w:r>
      <w:r w:rsidR="007E3B2A" w:rsidRPr="00D87203">
        <w:rPr>
          <w:color w:val="000000"/>
          <w:sz w:val="24"/>
          <w:szCs w:val="24"/>
        </w:rPr>
        <w:t xml:space="preserve">. Although, beta blockers are contraindicated in acutely decompensated heart failure </w:t>
      </w:r>
      <w:r w:rsidR="007E3B2A" w:rsidRPr="00D87203">
        <w:rPr>
          <w:color w:val="0000FF"/>
          <w:sz w:val="24"/>
          <w:szCs w:val="24"/>
        </w:rPr>
        <w:t>[</w:t>
      </w:r>
      <w:r w:rsidR="003958AF">
        <w:rPr>
          <w:color w:val="0000FF"/>
          <w:sz w:val="24"/>
          <w:szCs w:val="24"/>
        </w:rPr>
        <w:t>5</w:t>
      </w:r>
      <w:r w:rsidR="003C5902">
        <w:rPr>
          <w:color w:val="0000FF"/>
          <w:sz w:val="24"/>
          <w:szCs w:val="24"/>
        </w:rPr>
        <w:t>]</w:t>
      </w:r>
      <w:r w:rsidR="007E3B2A" w:rsidRPr="00D87203">
        <w:rPr>
          <w:color w:val="000000"/>
          <w:sz w:val="24"/>
          <w:szCs w:val="24"/>
        </w:rPr>
        <w:t xml:space="preserve">, the very first study which documented the benefits of their </w:t>
      </w:r>
      <w:r w:rsidR="00720274" w:rsidRPr="00D87203">
        <w:rPr>
          <w:color w:val="000000"/>
          <w:sz w:val="24"/>
          <w:szCs w:val="24"/>
        </w:rPr>
        <w:t>use [</w:t>
      </w:r>
      <w:r w:rsidR="000D5F09" w:rsidRPr="00D87203">
        <w:rPr>
          <w:color w:val="000000"/>
          <w:sz w:val="24"/>
          <w:szCs w:val="24"/>
        </w:rPr>
        <w:t>9</w:t>
      </w:r>
      <w:r w:rsidR="0095042F" w:rsidRPr="00D87203">
        <w:rPr>
          <w:color w:val="000000"/>
          <w:sz w:val="24"/>
          <w:szCs w:val="24"/>
        </w:rPr>
        <w:t>]</w:t>
      </w:r>
      <w:r w:rsidR="007E3B2A" w:rsidRPr="00D87203">
        <w:rPr>
          <w:snapToGrid w:val="0"/>
          <w:sz w:val="24"/>
          <w:szCs w:val="24"/>
        </w:rPr>
        <w:t xml:space="preserve"> </w:t>
      </w:r>
      <w:r w:rsidR="00A970C5" w:rsidRPr="00D87203">
        <w:rPr>
          <w:color w:val="000000"/>
          <w:sz w:val="24"/>
          <w:szCs w:val="24"/>
        </w:rPr>
        <w:t xml:space="preserve">and recently published investigations clearly indicate that decompensated patients do tolerate beta blockers </w:t>
      </w:r>
      <w:r w:rsidR="00A970C5" w:rsidRPr="00D87203">
        <w:rPr>
          <w:color w:val="0000FF"/>
          <w:sz w:val="24"/>
          <w:szCs w:val="24"/>
        </w:rPr>
        <w:t>[10]</w:t>
      </w:r>
      <w:r w:rsidR="007E3B2A" w:rsidRPr="00D87203">
        <w:rPr>
          <w:snapToGrid w:val="0"/>
          <w:sz w:val="24"/>
          <w:szCs w:val="24"/>
        </w:rPr>
        <w:t>The onset of decompensation is usually gradual, fluid overload predominates over decreased tissue perfusion [4-8] and there is biochemical evidence of neurohormonal activation [</w:t>
      </w:r>
      <w:r w:rsidR="00A673B4" w:rsidRPr="00D87203">
        <w:rPr>
          <w:snapToGrid w:val="0"/>
          <w:sz w:val="24"/>
          <w:szCs w:val="24"/>
        </w:rPr>
        <w:t>1</w:t>
      </w:r>
      <w:r w:rsidR="003C5902">
        <w:rPr>
          <w:snapToGrid w:val="0"/>
          <w:sz w:val="24"/>
          <w:szCs w:val="24"/>
        </w:rPr>
        <w:t>1</w:t>
      </w:r>
      <w:r w:rsidR="007E3B2A" w:rsidRPr="00D87203">
        <w:rPr>
          <w:snapToGrid w:val="0"/>
          <w:sz w:val="24"/>
          <w:szCs w:val="24"/>
        </w:rPr>
        <w:t>, 1</w:t>
      </w:r>
      <w:r w:rsidR="003C5902">
        <w:rPr>
          <w:snapToGrid w:val="0"/>
          <w:sz w:val="24"/>
          <w:szCs w:val="24"/>
        </w:rPr>
        <w:t>2]</w:t>
      </w:r>
      <w:r w:rsidR="007E3B2A" w:rsidRPr="00D87203">
        <w:rPr>
          <w:snapToGrid w:val="0"/>
          <w:sz w:val="24"/>
          <w:szCs w:val="24"/>
        </w:rPr>
        <w:t xml:space="preserve"> and myocytolisis [1</w:t>
      </w:r>
      <w:r w:rsidR="003C5902">
        <w:rPr>
          <w:snapToGrid w:val="0"/>
          <w:sz w:val="24"/>
          <w:szCs w:val="24"/>
        </w:rPr>
        <w:t>3</w:t>
      </w:r>
      <w:r w:rsidR="007E3B2A" w:rsidRPr="00D87203">
        <w:rPr>
          <w:snapToGrid w:val="0"/>
          <w:sz w:val="24"/>
          <w:szCs w:val="24"/>
        </w:rPr>
        <w:t xml:space="preserve">]. The results of current therapeutic strategies, based on </w:t>
      </w:r>
      <w:r w:rsidR="003C48FF" w:rsidRPr="00D87203">
        <w:rPr>
          <w:snapToGrid w:val="0"/>
          <w:sz w:val="24"/>
          <w:szCs w:val="24"/>
        </w:rPr>
        <w:t>frequent doses</w:t>
      </w:r>
      <w:r w:rsidR="007E3B2A" w:rsidRPr="00D87203">
        <w:rPr>
          <w:snapToGrid w:val="0"/>
          <w:sz w:val="24"/>
          <w:szCs w:val="24"/>
        </w:rPr>
        <w:t xml:space="preserve"> of diuretics, increase morbidity and mortality [1</w:t>
      </w:r>
      <w:r w:rsidR="004514F8">
        <w:rPr>
          <w:snapToGrid w:val="0"/>
          <w:sz w:val="24"/>
          <w:szCs w:val="24"/>
        </w:rPr>
        <w:t>4-1</w:t>
      </w:r>
      <w:r w:rsidR="003417D8">
        <w:rPr>
          <w:snapToGrid w:val="0"/>
          <w:sz w:val="24"/>
          <w:szCs w:val="24"/>
        </w:rPr>
        <w:t>6</w:t>
      </w:r>
      <w:r w:rsidR="007E3B2A" w:rsidRPr="00D87203">
        <w:rPr>
          <w:snapToGrid w:val="0"/>
          <w:sz w:val="24"/>
          <w:szCs w:val="24"/>
        </w:rPr>
        <w:t>]. Although, its use is still controversial, in hypervolemic uncompensated patients [</w:t>
      </w:r>
      <w:r w:rsidR="003417D8">
        <w:rPr>
          <w:snapToGrid w:val="0"/>
          <w:sz w:val="24"/>
          <w:szCs w:val="24"/>
        </w:rPr>
        <w:t>18,19</w:t>
      </w:r>
      <w:r w:rsidR="007E3B2A" w:rsidRPr="00D87203">
        <w:rPr>
          <w:snapToGrid w:val="0"/>
          <w:sz w:val="24"/>
          <w:szCs w:val="24"/>
        </w:rPr>
        <w:t>], a cardioprotective strategy with beta-adrenergic blockers appears to improve survival [</w:t>
      </w:r>
      <w:r w:rsidR="00527962" w:rsidRPr="00D87203">
        <w:rPr>
          <w:snapToGrid w:val="0"/>
          <w:sz w:val="24"/>
          <w:szCs w:val="24"/>
        </w:rPr>
        <w:t>2</w:t>
      </w:r>
      <w:r w:rsidR="00597EED">
        <w:rPr>
          <w:snapToGrid w:val="0"/>
          <w:sz w:val="24"/>
          <w:szCs w:val="24"/>
        </w:rPr>
        <w:t>0</w:t>
      </w:r>
      <w:r w:rsidR="007E3B2A" w:rsidRPr="00D87203">
        <w:rPr>
          <w:snapToGrid w:val="0"/>
          <w:sz w:val="24"/>
          <w:szCs w:val="24"/>
        </w:rPr>
        <w:t xml:space="preserve">, </w:t>
      </w:r>
      <w:r w:rsidR="00527962" w:rsidRPr="00D87203">
        <w:rPr>
          <w:snapToGrid w:val="0"/>
          <w:sz w:val="24"/>
          <w:szCs w:val="24"/>
        </w:rPr>
        <w:t>2</w:t>
      </w:r>
      <w:r w:rsidR="00597EED">
        <w:rPr>
          <w:snapToGrid w:val="0"/>
          <w:sz w:val="24"/>
          <w:szCs w:val="24"/>
        </w:rPr>
        <w:t>1</w:t>
      </w:r>
      <w:r w:rsidR="007E3B2A" w:rsidRPr="00D87203">
        <w:rPr>
          <w:snapToGrid w:val="0"/>
          <w:sz w:val="24"/>
          <w:szCs w:val="24"/>
        </w:rPr>
        <w:t xml:space="preserve">]. </w:t>
      </w:r>
      <w:r w:rsidR="007E3B2A" w:rsidRPr="00D87203">
        <w:rPr>
          <w:snapToGrid w:val="0"/>
          <w:sz w:val="24"/>
          <w:szCs w:val="24"/>
          <w:lang w:eastAsia="es-VE"/>
        </w:rPr>
        <w:t xml:space="preserve">Beta blockers are contraindicated in patients with acutely decompensated heart </w:t>
      </w:r>
      <w:r w:rsidR="00A673B4" w:rsidRPr="00D87203">
        <w:rPr>
          <w:snapToGrid w:val="0"/>
          <w:sz w:val="24"/>
          <w:szCs w:val="24"/>
          <w:lang w:eastAsia="es-VE"/>
        </w:rPr>
        <w:t>failure.</w:t>
      </w:r>
      <w:r w:rsidR="00AE10BD" w:rsidRPr="00D87203">
        <w:rPr>
          <w:snapToGrid w:val="0"/>
          <w:sz w:val="24"/>
          <w:szCs w:val="24"/>
          <w:lang w:eastAsia="es-VE"/>
        </w:rPr>
        <w:t>[5]</w:t>
      </w:r>
      <w:r w:rsidR="0017092A" w:rsidRPr="00D87203">
        <w:rPr>
          <w:sz w:val="24"/>
          <w:szCs w:val="24"/>
        </w:rPr>
        <w:t xml:space="preserve"> The</w:t>
      </w:r>
      <w:r w:rsidR="00D1016A" w:rsidRPr="00D87203">
        <w:rPr>
          <w:sz w:val="24"/>
          <w:szCs w:val="24"/>
        </w:rPr>
        <w:t xml:space="preserve"> pathophysiology of acute decompensation, of chronic and stable heart failure patients, is still incompletely understood. Possible </w:t>
      </w:r>
      <w:r w:rsidR="00D1016A" w:rsidRPr="00D87203">
        <w:rPr>
          <w:sz w:val="24"/>
          <w:szCs w:val="24"/>
        </w:rPr>
        <w:lastRenderedPageBreak/>
        <w:t>mechanisms are non-adherence to diet or pharmacological therapy, arrhythmias, impaired cardiac contractility, and renal insufficiency.</w:t>
      </w:r>
      <w:r w:rsidR="00597EED" w:rsidRPr="00597EED">
        <w:rPr>
          <w:snapToGrid w:val="0"/>
          <w:kern w:val="0"/>
          <w:lang w:eastAsia="es-VE"/>
        </w:rPr>
        <w:t xml:space="preserve"> </w:t>
      </w:r>
      <w:r w:rsidR="00597EED" w:rsidRPr="00597EED">
        <w:rPr>
          <w:snapToGrid w:val="0"/>
          <w:kern w:val="0"/>
          <w:sz w:val="24"/>
          <w:szCs w:val="24"/>
          <w:lang w:eastAsia="es-VE"/>
        </w:rPr>
        <w:t xml:space="preserve">Consequently, selected patients with acutely decompensated heart failure can be compensated, during a </w:t>
      </w:r>
      <w:r w:rsidR="00597EED" w:rsidRPr="00597EED">
        <w:rPr>
          <w:snapToGrid w:val="0"/>
          <w:kern w:val="0"/>
          <w:sz w:val="24"/>
          <w:szCs w:val="24"/>
          <w:lang w:eastAsia="es-VE"/>
        </w:rPr>
        <w:t>96-h</w:t>
      </w:r>
      <w:r w:rsidR="00597EED" w:rsidRPr="00597EED">
        <w:rPr>
          <w:snapToGrid w:val="0"/>
          <w:kern w:val="0"/>
          <w:sz w:val="24"/>
          <w:szCs w:val="24"/>
          <w:lang w:eastAsia="es-VE"/>
        </w:rPr>
        <w:t xml:space="preserve"> period of observation, with a cautious uptitration of carvedilol and single daily dose of diuretics</w:t>
      </w:r>
      <w:r w:rsidR="00597EED" w:rsidRPr="00597EED">
        <w:rPr>
          <w:rFonts w:eastAsiaTheme="minorEastAsia" w:hint="eastAsia"/>
          <w:snapToGrid w:val="0"/>
          <w:kern w:val="0"/>
          <w:sz w:val="24"/>
          <w:szCs w:val="24"/>
        </w:rPr>
        <w:t xml:space="preserve"> </w:t>
      </w:r>
      <w:r w:rsidR="00597EED" w:rsidRPr="00597EED">
        <w:rPr>
          <w:snapToGrid w:val="0"/>
          <w:kern w:val="0"/>
          <w:sz w:val="24"/>
          <w:szCs w:val="24"/>
          <w:lang w:eastAsia="es-VE"/>
        </w:rPr>
        <w:t>[2</w:t>
      </w:r>
      <w:r w:rsidR="00597EED">
        <w:rPr>
          <w:snapToGrid w:val="0"/>
          <w:kern w:val="0"/>
          <w:sz w:val="24"/>
          <w:szCs w:val="24"/>
          <w:lang w:eastAsia="es-VE"/>
        </w:rPr>
        <w:t>2</w:t>
      </w:r>
      <w:r w:rsidR="00597EED" w:rsidRPr="00597EED">
        <w:rPr>
          <w:snapToGrid w:val="0"/>
          <w:kern w:val="0"/>
          <w:sz w:val="24"/>
          <w:szCs w:val="24"/>
          <w:lang w:eastAsia="es-VE"/>
        </w:rPr>
        <w:t>]</w:t>
      </w:r>
      <w:r w:rsidR="00597EED" w:rsidRPr="00597EED">
        <w:rPr>
          <w:snapToGrid w:val="0"/>
          <w:kern w:val="0"/>
          <w:sz w:val="24"/>
          <w:szCs w:val="24"/>
        </w:rPr>
        <w:t>.</w:t>
      </w:r>
      <w:r w:rsidR="00597EED" w:rsidRPr="00597EED">
        <w:rPr>
          <w:rFonts w:eastAsiaTheme="minorEastAsia" w:hint="eastAsia"/>
          <w:snapToGrid w:val="0"/>
          <w:kern w:val="0"/>
          <w:sz w:val="24"/>
          <w:szCs w:val="24"/>
        </w:rPr>
        <w:t xml:space="preserve"> </w:t>
      </w:r>
      <w:r w:rsidR="00597EED" w:rsidRPr="00597EED">
        <w:rPr>
          <w:snapToGrid w:val="0"/>
          <w:kern w:val="0"/>
          <w:sz w:val="24"/>
          <w:szCs w:val="24"/>
        </w:rPr>
        <w:t xml:space="preserve">We previously reported the </w:t>
      </w:r>
      <w:r w:rsidR="00D0763E">
        <w:rPr>
          <w:snapToGrid w:val="0"/>
          <w:kern w:val="0"/>
          <w:sz w:val="24"/>
          <w:szCs w:val="24"/>
        </w:rPr>
        <w:t>3</w:t>
      </w:r>
      <w:r w:rsidR="00597EED" w:rsidRPr="00597EED">
        <w:rPr>
          <w:snapToGrid w:val="0"/>
          <w:kern w:val="0"/>
          <w:sz w:val="24"/>
          <w:szCs w:val="24"/>
        </w:rPr>
        <w:t>hort-term</w:t>
      </w:r>
      <w:r w:rsidR="00597EED" w:rsidRPr="00597EED">
        <w:rPr>
          <w:snapToGrid w:val="0"/>
          <w:kern w:val="0"/>
          <w:sz w:val="24"/>
          <w:szCs w:val="24"/>
        </w:rPr>
        <w:t xml:space="preserve"> effects of these two opposite strategies and now describe their </w:t>
      </w:r>
      <w:proofErr w:type="gramStart"/>
      <w:r w:rsidR="00597EED" w:rsidRPr="00597EED">
        <w:rPr>
          <w:snapToGrid w:val="0"/>
          <w:kern w:val="0"/>
          <w:sz w:val="24"/>
          <w:szCs w:val="24"/>
        </w:rPr>
        <w:t>long term</w:t>
      </w:r>
      <w:proofErr w:type="gramEnd"/>
      <w:r w:rsidR="00597EED" w:rsidRPr="00597EED">
        <w:rPr>
          <w:snapToGrid w:val="0"/>
          <w:kern w:val="0"/>
          <w:sz w:val="24"/>
          <w:szCs w:val="24"/>
        </w:rPr>
        <w:t xml:space="preserve"> effects on </w:t>
      </w:r>
      <w:r w:rsidR="00597EED" w:rsidRPr="00597EED">
        <w:rPr>
          <w:snapToGrid w:val="0"/>
          <w:kern w:val="0"/>
          <w:sz w:val="24"/>
          <w:szCs w:val="24"/>
        </w:rPr>
        <w:t>survival</w:t>
      </w:r>
      <w:r w:rsidR="00597EED" w:rsidRPr="00597EED">
        <w:rPr>
          <w:sz w:val="24"/>
          <w:szCs w:val="24"/>
        </w:rPr>
        <w:t xml:space="preserve"> </w:t>
      </w:r>
      <w:r w:rsidR="00D0763E">
        <w:rPr>
          <w:sz w:val="24"/>
          <w:szCs w:val="24"/>
        </w:rPr>
        <w:t xml:space="preserve">[22] </w:t>
      </w:r>
      <w:r w:rsidR="00597EED" w:rsidRPr="00597EED">
        <w:rPr>
          <w:sz w:val="24"/>
          <w:szCs w:val="24"/>
        </w:rPr>
        <w:t>All</w:t>
      </w:r>
      <w:r w:rsidR="00D1016A" w:rsidRPr="00597EED">
        <w:rPr>
          <w:sz w:val="24"/>
          <w:szCs w:val="24"/>
        </w:rPr>
        <w:t xml:space="preserve"> of these abnormalities lead to or contribute with neurohormonal activation, progressive</w:t>
      </w:r>
      <w:r w:rsidR="00D1016A" w:rsidRPr="00D87203">
        <w:rPr>
          <w:sz w:val="24"/>
          <w:szCs w:val="24"/>
        </w:rPr>
        <w:t xml:space="preserve"> fluid retention, body weight gain and congestion [2</w:t>
      </w:r>
      <w:r w:rsidR="00D0763E">
        <w:rPr>
          <w:sz w:val="24"/>
          <w:szCs w:val="24"/>
        </w:rPr>
        <w:t>4</w:t>
      </w:r>
      <w:r w:rsidR="00D1016A" w:rsidRPr="00D87203">
        <w:rPr>
          <w:sz w:val="24"/>
          <w:szCs w:val="24"/>
        </w:rPr>
        <w:t>]. More recently, Fallick C et al., proposed that, a sympathetically mediated shift between extracellular fluid volumen and effective circulating blood volumen, would partially explain the development of congestion, even in the absence of weight gain [2</w:t>
      </w:r>
      <w:r w:rsidR="00D0763E">
        <w:rPr>
          <w:sz w:val="24"/>
          <w:szCs w:val="24"/>
        </w:rPr>
        <w:t>5</w:t>
      </w:r>
      <w:r w:rsidR="00D1016A" w:rsidRPr="00D87203">
        <w:rPr>
          <w:sz w:val="24"/>
          <w:szCs w:val="24"/>
        </w:rPr>
        <w:t>]. Since alpha receptors predominate in the splanchnic blood reservoir [</w:t>
      </w:r>
      <w:r w:rsidR="00CB62D0" w:rsidRPr="00D87203">
        <w:rPr>
          <w:sz w:val="24"/>
          <w:szCs w:val="24"/>
        </w:rPr>
        <w:t>30</w:t>
      </w:r>
      <w:r w:rsidR="00D1016A" w:rsidRPr="00D87203">
        <w:rPr>
          <w:sz w:val="24"/>
          <w:szCs w:val="24"/>
        </w:rPr>
        <w:t xml:space="preserve">], those investigators went on to state that: “Although, β blockade is still contraindicated in the setting of acute decompensation, perhaps judicious use of combined </w:t>
      </w:r>
      <w:r w:rsidR="00CB62D0" w:rsidRPr="00D87203">
        <w:rPr>
          <w:sz w:val="24"/>
          <w:szCs w:val="24"/>
        </w:rPr>
        <w:sym w:font="Symbol" w:char="F061"/>
      </w:r>
      <w:r w:rsidR="00D1016A" w:rsidRPr="00D87203">
        <w:rPr>
          <w:sz w:val="24"/>
          <w:szCs w:val="24"/>
        </w:rPr>
        <w:t xml:space="preserve"> and β blockade could be considered in</w:t>
      </w:r>
      <w:r w:rsidR="00D1016A" w:rsidRPr="00D87203">
        <w:rPr>
          <w:rFonts w:eastAsiaTheme="minorEastAsia"/>
          <w:sz w:val="24"/>
          <w:szCs w:val="24"/>
        </w:rPr>
        <w:t xml:space="preserve"> </w:t>
      </w:r>
      <w:r w:rsidR="00D1016A" w:rsidRPr="00D87203">
        <w:rPr>
          <w:sz w:val="24"/>
          <w:szCs w:val="24"/>
        </w:rPr>
        <w:t>the future</w:t>
      </w:r>
      <w:r w:rsidR="007E3B2A" w:rsidRPr="00D87203">
        <w:rPr>
          <w:snapToGrid w:val="0"/>
          <w:sz w:val="24"/>
          <w:szCs w:val="24"/>
          <w:lang w:eastAsia="es-VE"/>
        </w:rPr>
        <w:t xml:space="preserve"> We have compared the effects of frequent doses of diuretics vs a single dose of diuretics and cautious uptitration of carvedilol.</w:t>
      </w:r>
      <w:r w:rsidR="00D0763E">
        <w:rPr>
          <w:snapToGrid w:val="0"/>
          <w:sz w:val="24"/>
          <w:szCs w:val="24"/>
          <w:lang w:eastAsia="es-VE"/>
        </w:rPr>
        <w:t>[22]</w:t>
      </w:r>
      <w:r w:rsidR="007E3B2A" w:rsidRPr="00D87203">
        <w:rPr>
          <w:snapToGrid w:val="0"/>
          <w:sz w:val="24"/>
          <w:szCs w:val="24"/>
          <w:lang w:eastAsia="es-VE"/>
        </w:rPr>
        <w:t xml:space="preserve"> </w:t>
      </w:r>
      <w:r w:rsidR="00CB62D0" w:rsidRPr="00D87203">
        <w:rPr>
          <w:snapToGrid w:val="0"/>
          <w:sz w:val="24"/>
          <w:szCs w:val="24"/>
          <w:lang w:eastAsia="es-VE"/>
        </w:rPr>
        <w:t>[</w:t>
      </w:r>
      <w:r w:rsidR="007E3B2A" w:rsidRPr="00D87203">
        <w:rPr>
          <w:snapToGrid w:val="0"/>
          <w:sz w:val="24"/>
          <w:szCs w:val="24"/>
          <w:lang w:eastAsia="es-VE"/>
        </w:rPr>
        <w:t>Our results indicate that, although clinical compensation is achieved with both strategies; the effects on neurohormonal activation and ventricular arrhythmias are opposite and we previously reported the short-term effects of these two opposite strategies, Consequently, selected patients with acutely decompensated heart failure can be compensated, during a 96 h period of observation, with a cautious uptitration of carvedilol and single daily dose of diuretics</w:t>
      </w:r>
      <w:r w:rsidR="007E3B2A" w:rsidRPr="00D87203">
        <w:rPr>
          <w:rFonts w:eastAsiaTheme="minorEastAsia"/>
          <w:snapToGrid w:val="0"/>
          <w:sz w:val="24"/>
          <w:szCs w:val="24"/>
        </w:rPr>
        <w:t xml:space="preserve"> </w:t>
      </w:r>
      <w:r w:rsidR="007E3B2A" w:rsidRPr="00D87203">
        <w:rPr>
          <w:snapToGrid w:val="0"/>
          <w:sz w:val="24"/>
          <w:szCs w:val="24"/>
          <w:lang w:eastAsia="es-VE"/>
        </w:rPr>
        <w:t>[2</w:t>
      </w:r>
      <w:r w:rsidR="003F1078">
        <w:rPr>
          <w:snapToGrid w:val="0"/>
          <w:sz w:val="24"/>
          <w:szCs w:val="24"/>
          <w:lang w:eastAsia="es-VE"/>
        </w:rPr>
        <w:t>2]</w:t>
      </w:r>
      <w:r w:rsidR="007E3B2A" w:rsidRPr="00D87203">
        <w:rPr>
          <w:snapToGrid w:val="0"/>
          <w:sz w:val="24"/>
          <w:szCs w:val="24"/>
        </w:rPr>
        <w:t>.</w:t>
      </w:r>
      <w:r w:rsidR="007E3B2A" w:rsidRPr="00D87203">
        <w:rPr>
          <w:rFonts w:eastAsiaTheme="minorEastAsia"/>
          <w:snapToGrid w:val="0"/>
          <w:sz w:val="24"/>
          <w:szCs w:val="24"/>
        </w:rPr>
        <w:t xml:space="preserve"> </w:t>
      </w:r>
      <w:r w:rsidR="008F76B8" w:rsidRPr="00D87203">
        <w:rPr>
          <w:snapToGrid w:val="0"/>
          <w:kern w:val="0"/>
          <w:sz w:val="24"/>
          <w:szCs w:val="24"/>
        </w:rPr>
        <w:t>All patients were congestive, normothermic and with adequate perfusion pressure</w:t>
      </w:r>
      <w:r w:rsidR="008F76B8" w:rsidRPr="00D87203">
        <w:rPr>
          <w:rFonts w:eastAsiaTheme="minorEastAsia"/>
          <w:snapToGrid w:val="0"/>
          <w:kern w:val="0"/>
          <w:sz w:val="24"/>
          <w:szCs w:val="24"/>
        </w:rPr>
        <w:t xml:space="preserve"> </w:t>
      </w:r>
      <w:r w:rsidR="008F76B8" w:rsidRPr="00D87203">
        <w:rPr>
          <w:snapToGrid w:val="0"/>
          <w:kern w:val="0"/>
          <w:sz w:val="24"/>
          <w:szCs w:val="24"/>
        </w:rPr>
        <w:t>(Systolic blood pressure &gt; 90 mmHg (Profile B, Functional class III/IV) [7]. Medical treatment was based on two opposite therapeutic strategies [2</w:t>
      </w:r>
      <w:r w:rsidR="003F1078">
        <w:rPr>
          <w:snapToGrid w:val="0"/>
          <w:kern w:val="0"/>
          <w:sz w:val="24"/>
          <w:szCs w:val="24"/>
        </w:rPr>
        <w:t>2</w:t>
      </w:r>
      <w:r w:rsidR="008F76B8" w:rsidRPr="00D87203">
        <w:rPr>
          <w:snapToGrid w:val="0"/>
          <w:kern w:val="0"/>
          <w:sz w:val="24"/>
          <w:szCs w:val="24"/>
        </w:rPr>
        <w:t>]. Protocol 1: Furosemide 20 mg IV every 8 hours and Protocol 2: Furosemide 20 mg IV every 24 hours plus cautious up titration of carvedilol. Uptitration of carvedilol was carried out by increasing the initial dose of 3.125 mg, by 3.125 mg every 12 hours. Uptitration was heart rate oriented (Target: 65-70 bpm) and preceded by a thorough clinical evaluation. Betablockers on admission were switched to carvedilol [Protocol 2]. Patients in both protocols received digitalis and prophylaxis for deep venous thrombo-embolism. Captopril 6.25 mg every 8 hours was also administrated to protocol 1 patients. Two-dimensional transthoracic echocardiogram was performed upon admission and daily dry weight was determined every 24 hours, during the observation period of 96 hours. Upon termination of the in-hospital observation period, patients were discharged and followed in the outpatient clinic. Standard treatment for chronic congestive heart failure was now administered to patients in both protocols [</w:t>
      </w:r>
      <w:r w:rsidR="003F1078">
        <w:rPr>
          <w:snapToGrid w:val="0"/>
          <w:kern w:val="0"/>
          <w:sz w:val="24"/>
          <w:szCs w:val="24"/>
        </w:rPr>
        <w:t>18</w:t>
      </w:r>
      <w:r w:rsidR="008F76B8" w:rsidRPr="00D87203">
        <w:rPr>
          <w:snapToGrid w:val="0"/>
          <w:kern w:val="0"/>
          <w:sz w:val="24"/>
          <w:szCs w:val="24"/>
        </w:rPr>
        <w:t>,</w:t>
      </w:r>
      <w:r w:rsidR="008F76B8" w:rsidRPr="00D87203">
        <w:rPr>
          <w:rFonts w:eastAsiaTheme="minorEastAsia"/>
          <w:snapToGrid w:val="0"/>
          <w:kern w:val="0"/>
          <w:sz w:val="24"/>
          <w:szCs w:val="24"/>
        </w:rPr>
        <w:t xml:space="preserve"> </w:t>
      </w:r>
      <w:r w:rsidR="003F1078">
        <w:rPr>
          <w:rFonts w:eastAsiaTheme="minorEastAsia"/>
          <w:snapToGrid w:val="0"/>
          <w:sz w:val="24"/>
          <w:szCs w:val="24"/>
        </w:rPr>
        <w:t>19</w:t>
      </w:r>
      <w:r w:rsidR="00541884" w:rsidRPr="00D87203">
        <w:rPr>
          <w:snapToGrid w:val="0"/>
          <w:sz w:val="24"/>
          <w:szCs w:val="24"/>
        </w:rPr>
        <w:t>]. We</w:t>
      </w:r>
      <w:r w:rsidR="007E3B2A" w:rsidRPr="00D87203">
        <w:rPr>
          <w:snapToGrid w:val="0"/>
          <w:sz w:val="24"/>
          <w:szCs w:val="24"/>
        </w:rPr>
        <w:t xml:space="preserve"> previously reported the </w:t>
      </w:r>
      <w:r w:rsidR="003C48FF" w:rsidRPr="00D87203">
        <w:rPr>
          <w:snapToGrid w:val="0"/>
          <w:sz w:val="24"/>
          <w:szCs w:val="24"/>
        </w:rPr>
        <w:t>short-term</w:t>
      </w:r>
      <w:r w:rsidR="007E3B2A" w:rsidRPr="00D87203">
        <w:rPr>
          <w:snapToGrid w:val="0"/>
          <w:sz w:val="24"/>
          <w:szCs w:val="24"/>
        </w:rPr>
        <w:t xml:space="preserve"> effects of these two opposite strategies</w:t>
      </w:r>
      <w:proofErr w:type="gramStart"/>
      <w:r w:rsidR="00EF0FCA" w:rsidRPr="00D87203">
        <w:rPr>
          <w:snapToGrid w:val="0"/>
          <w:sz w:val="24"/>
          <w:szCs w:val="24"/>
        </w:rPr>
        <w:t>´[</w:t>
      </w:r>
      <w:proofErr w:type="gramEnd"/>
      <w:r w:rsidR="00EF0FCA" w:rsidRPr="00D87203">
        <w:rPr>
          <w:snapToGrid w:val="0"/>
          <w:sz w:val="24"/>
          <w:szCs w:val="24"/>
        </w:rPr>
        <w:t>2</w:t>
      </w:r>
      <w:r w:rsidR="003F1078">
        <w:rPr>
          <w:snapToGrid w:val="0"/>
          <w:sz w:val="24"/>
          <w:szCs w:val="24"/>
        </w:rPr>
        <w:t>2</w:t>
      </w:r>
      <w:r w:rsidR="00EF0FCA" w:rsidRPr="00D87203">
        <w:rPr>
          <w:snapToGrid w:val="0"/>
          <w:sz w:val="24"/>
          <w:szCs w:val="24"/>
        </w:rPr>
        <w:t>]</w:t>
      </w:r>
      <w:r w:rsidR="007E3B2A" w:rsidRPr="00D87203">
        <w:rPr>
          <w:snapToGrid w:val="0"/>
          <w:sz w:val="24"/>
          <w:szCs w:val="24"/>
        </w:rPr>
        <w:t xml:space="preserve"> and now describe their </w:t>
      </w:r>
      <w:r w:rsidR="003C48FF" w:rsidRPr="00D87203">
        <w:rPr>
          <w:snapToGrid w:val="0"/>
          <w:sz w:val="24"/>
          <w:szCs w:val="24"/>
        </w:rPr>
        <w:t>long-term</w:t>
      </w:r>
      <w:r w:rsidR="007E3B2A" w:rsidRPr="00D87203">
        <w:rPr>
          <w:snapToGrid w:val="0"/>
          <w:sz w:val="24"/>
          <w:szCs w:val="24"/>
        </w:rPr>
        <w:t xml:space="preserve"> effects on survival</w:t>
      </w:r>
      <w:r w:rsidR="00E60B99" w:rsidRPr="00D87203">
        <w:rPr>
          <w:snapToGrid w:val="0"/>
          <w:sz w:val="24"/>
          <w:szCs w:val="24"/>
        </w:rPr>
        <w:t xml:space="preserve"> </w:t>
      </w:r>
      <w:r w:rsidR="00E60B99" w:rsidRPr="00D87203">
        <w:rPr>
          <w:sz w:val="24"/>
          <w:szCs w:val="24"/>
        </w:rPr>
        <w:t xml:space="preserve">Baseline demographic, clinical and echocardiographic characteristics. The medical records of ninety-eight patients were identified. Initially, patients were consecutively assigned to each protocol [Protocol 1: 21 patients and Protocol 2: 23]. However, during the last four years [20072011] most patients received protocol 2 [47 patients] and the remainder Protocol 1 [7 patients]. Baseline characteristics for all patients are shown </w:t>
      </w:r>
      <w:r w:rsidR="003C48FF" w:rsidRPr="00D87203">
        <w:rPr>
          <w:sz w:val="24"/>
          <w:szCs w:val="24"/>
        </w:rPr>
        <w:t>as</w:t>
      </w:r>
      <w:r w:rsidR="00E60B99" w:rsidRPr="00D87203">
        <w:rPr>
          <w:sz w:val="24"/>
          <w:szCs w:val="24"/>
        </w:rPr>
        <w:t xml:space="preserve"> Mean age was 64. 87±13. 04 years and males predominated. Baseline heart rate was 97. 41±14. 73 beats per minute and systolic blood pressure 129.44±17. 84 mmHg. Most patients were in functional class III [NYHA 58%]. Sinus rhythm was present in more than half [52.24%] and atrial fibrillation in the remaining patients [47.76%]. Renal function was borderline and the most frequently prescribed drug was furosemide. All patients had severely depressed left ventricular function [Ejection fraction: [28.61±13.54] and increased pulmonary wedge pressure [28.61±13.54 mm Hg] [21]. As can be seen </w:t>
      </w:r>
      <w:r w:rsidR="003C48FF" w:rsidRPr="00D87203">
        <w:rPr>
          <w:sz w:val="24"/>
          <w:szCs w:val="24"/>
        </w:rPr>
        <w:t>in,</w:t>
      </w:r>
      <w:r w:rsidR="00E60B99" w:rsidRPr="00D87203">
        <w:rPr>
          <w:sz w:val="24"/>
          <w:szCs w:val="24"/>
        </w:rPr>
        <w:t xml:space="preserve"> patients assigned to protocol 2 had higher baseline heart rate, diastolic blood pressure, serum creatinine and left ventricular ejection fraction. Mean maximum dose of carvedilol for the 96 hours observation period was 59.37 mg, furosemide 240 mg for protocol 1 and 80 mg for protocol 2 and captopril 75 mg.</w:t>
      </w:r>
      <w:r w:rsidR="003C48FF" w:rsidRPr="00D87203">
        <w:rPr>
          <w:sz w:val="24"/>
          <w:szCs w:val="24"/>
        </w:rPr>
        <w:t xml:space="preserve"> </w:t>
      </w:r>
      <w:r w:rsidR="00E60B99" w:rsidRPr="00D87203">
        <w:rPr>
          <w:sz w:val="24"/>
          <w:szCs w:val="24"/>
        </w:rPr>
        <w:t xml:space="preserve">Heart rate decreased from 99.19±12.38 bpm to 67.64±11.27 [p&lt; 0.0001], in protocol 2 patients but, it remained unchanged in protocol 1 </w:t>
      </w:r>
      <w:r w:rsidR="003A5FE5" w:rsidRPr="00D87203">
        <w:rPr>
          <w:sz w:val="24"/>
          <w:szCs w:val="24"/>
        </w:rPr>
        <w:t>patients.</w:t>
      </w:r>
      <w:r w:rsidR="00E60B99" w:rsidRPr="00D87203">
        <w:rPr>
          <w:sz w:val="24"/>
          <w:szCs w:val="24"/>
        </w:rPr>
        <w:t xml:space="preserve"> Daily dry weight decreased significantly, in both groups of patients, during the four days observation period. Intergroup comparisons for the absolute daily changes in dry weight were </w:t>
      </w:r>
      <w:r w:rsidR="003A5FE5" w:rsidRPr="00D87203">
        <w:rPr>
          <w:sz w:val="24"/>
          <w:szCs w:val="24"/>
        </w:rPr>
        <w:t xml:space="preserve">similar. Daily dry weight decreased significantly, in both groups of patients, during the four days observation </w:t>
      </w:r>
      <w:r w:rsidR="003C48FF" w:rsidRPr="00D87203">
        <w:rPr>
          <w:sz w:val="24"/>
          <w:szCs w:val="24"/>
        </w:rPr>
        <w:t>period.</w:t>
      </w:r>
      <w:r w:rsidR="003A5FE5" w:rsidRPr="00D87203">
        <w:rPr>
          <w:sz w:val="24"/>
          <w:szCs w:val="24"/>
        </w:rPr>
        <w:t xml:space="preserve"> For the whole group of patients, survival probability was close to 60% at fifty months of follow up g. There were fourteen deaths with protocol 1 and eleven with protocol 2. According to use or not use of carvedilol, survival probability was significantly higher, in patients assigned to protocol 2 versus protocol 1 [72% vs 38%, p&lt; 0.046</w:t>
      </w:r>
      <w:r w:rsidR="003C48FF" w:rsidRPr="00D87203">
        <w:rPr>
          <w:sz w:val="24"/>
          <w:szCs w:val="24"/>
        </w:rPr>
        <w:t>].</w:t>
      </w:r>
      <w:r w:rsidR="003A5FE5" w:rsidRPr="00D87203">
        <w:rPr>
          <w:sz w:val="24"/>
          <w:szCs w:val="24"/>
        </w:rPr>
        <w:t xml:space="preserve"> Discrimination of patients in sinus rhythm versus atrial fibrillation showed a higher survival only in the </w:t>
      </w:r>
      <w:r w:rsidR="003C48FF" w:rsidRPr="00D87203">
        <w:rPr>
          <w:sz w:val="24"/>
          <w:szCs w:val="24"/>
        </w:rPr>
        <w:t>former.</w:t>
      </w:r>
      <w:r w:rsidR="003A5FE5" w:rsidRPr="00D87203">
        <w:rPr>
          <w:sz w:val="24"/>
          <w:szCs w:val="24"/>
        </w:rPr>
        <w:t xml:space="preserve"> The magnitude of the heart rate change, with carvedilol in patients in sinus rhythm or in atrial fibrillation, was not statistically </w:t>
      </w:r>
      <w:r w:rsidR="008F76B8" w:rsidRPr="00D87203">
        <w:rPr>
          <w:sz w:val="24"/>
          <w:szCs w:val="24"/>
        </w:rPr>
        <w:t>different.</w:t>
      </w:r>
      <w:r w:rsidR="003A5FE5" w:rsidRPr="00D87203">
        <w:rPr>
          <w:sz w:val="24"/>
          <w:szCs w:val="24"/>
        </w:rPr>
        <w:t xml:space="preserve"> </w:t>
      </w:r>
      <w:r w:rsidR="00D1016A" w:rsidRPr="00D87203">
        <w:rPr>
          <w:sz w:val="24"/>
          <w:szCs w:val="24"/>
        </w:rPr>
        <w:t>The Kaplan-</w:t>
      </w:r>
      <w:proofErr w:type="spellStart"/>
      <w:r w:rsidR="00D1016A" w:rsidRPr="00D87203">
        <w:rPr>
          <w:sz w:val="24"/>
          <w:szCs w:val="24"/>
        </w:rPr>
        <w:t>Mier</w:t>
      </w:r>
      <w:proofErr w:type="spellEnd"/>
      <w:r w:rsidR="00D1016A" w:rsidRPr="00D87203">
        <w:rPr>
          <w:sz w:val="24"/>
          <w:szCs w:val="24"/>
        </w:rPr>
        <w:t xml:space="preserve"> analysis of our database showed that, for the whole group of patients, survival probability was close to 60% at fifty months of follow up. However, patients receiving carvedilol, had a better survival than those assigned to high and frequent dosis of furosemide. Patients in sinus rhythm, compared to those with atrial fibrillation as the predominate heart rhythm, were the only ones to have an increased survival. Cox regression analysis confirmed that, carvedilol and sinus rhythm, were the only variables independently associated with survival</w:t>
      </w:r>
      <w:r w:rsidR="007B7802" w:rsidRPr="007B7802">
        <w:rPr>
          <w:sz w:val="24"/>
          <w:szCs w:val="24"/>
        </w:rPr>
        <w:t xml:space="preserve"> </w:t>
      </w:r>
      <w:r w:rsidR="007B7802" w:rsidRPr="00D87203">
        <w:rPr>
          <w:sz w:val="24"/>
          <w:szCs w:val="24"/>
        </w:rPr>
        <w:t>Recent prospective and retrospective studies, in decompensated patients, have paid particular attention to the relationship of continuation, withdrawal or newly starting of beta blockers [2</w:t>
      </w:r>
      <w:r w:rsidR="007B7802">
        <w:rPr>
          <w:sz w:val="24"/>
          <w:szCs w:val="24"/>
        </w:rPr>
        <w:t>0</w:t>
      </w:r>
      <w:r w:rsidR="007B7802" w:rsidRPr="00D87203">
        <w:rPr>
          <w:sz w:val="24"/>
          <w:szCs w:val="24"/>
        </w:rPr>
        <w:t>,</w:t>
      </w:r>
      <w:r w:rsidR="007B7802" w:rsidRPr="00D87203">
        <w:rPr>
          <w:rFonts w:eastAsiaTheme="minorEastAsia"/>
          <w:sz w:val="24"/>
          <w:szCs w:val="24"/>
        </w:rPr>
        <w:t xml:space="preserve"> </w:t>
      </w:r>
      <w:r w:rsidR="007B7802" w:rsidRPr="00D87203">
        <w:rPr>
          <w:sz w:val="24"/>
          <w:szCs w:val="24"/>
        </w:rPr>
        <w:t>2</w:t>
      </w:r>
      <w:r w:rsidR="007B7802">
        <w:rPr>
          <w:sz w:val="24"/>
          <w:szCs w:val="24"/>
        </w:rPr>
        <w:t>1</w:t>
      </w:r>
      <w:r w:rsidR="007B7802" w:rsidRPr="00D87203">
        <w:rPr>
          <w:sz w:val="24"/>
          <w:szCs w:val="24"/>
        </w:rPr>
        <w:t>,</w:t>
      </w:r>
      <w:r w:rsidR="007B7802" w:rsidRPr="00D87203">
        <w:rPr>
          <w:rFonts w:eastAsiaTheme="minorEastAsia"/>
          <w:sz w:val="24"/>
          <w:szCs w:val="24"/>
        </w:rPr>
        <w:t xml:space="preserve"> </w:t>
      </w:r>
      <w:r w:rsidR="007B7802">
        <w:rPr>
          <w:rFonts w:eastAsiaTheme="minorEastAsia"/>
          <w:sz w:val="24"/>
          <w:szCs w:val="24"/>
        </w:rPr>
        <w:t>33</w:t>
      </w:r>
      <w:r w:rsidR="007B7802" w:rsidRPr="00D87203">
        <w:rPr>
          <w:sz w:val="24"/>
          <w:szCs w:val="24"/>
        </w:rPr>
        <w:t>,</w:t>
      </w:r>
      <w:r w:rsidR="007B7802" w:rsidRPr="00D87203">
        <w:rPr>
          <w:rFonts w:eastAsiaTheme="minorEastAsia"/>
          <w:sz w:val="24"/>
          <w:szCs w:val="24"/>
        </w:rPr>
        <w:t xml:space="preserve"> </w:t>
      </w:r>
      <w:r w:rsidR="007B7802">
        <w:rPr>
          <w:sz w:val="24"/>
          <w:szCs w:val="24"/>
        </w:rPr>
        <w:t>34</w:t>
      </w:r>
      <w:r w:rsidR="007B7802" w:rsidRPr="00D87203">
        <w:rPr>
          <w:sz w:val="24"/>
          <w:szCs w:val="24"/>
        </w:rPr>
        <w:t>]. All of these studies consistently demonstrated that, short term cardiac mortality and morbidity, were significantly lower in those patients newly started or continued on beta blockers. Our findings indicate that long term survival is also positively influenced by the administration of carvedilol, to acutely decompensated patients.</w:t>
      </w:r>
      <w:r w:rsidR="007B7802">
        <w:rPr>
          <w:sz w:val="24"/>
          <w:szCs w:val="24"/>
        </w:rPr>
        <w:t xml:space="preserve"> </w:t>
      </w:r>
      <w:r w:rsidR="00D1016A" w:rsidRPr="00D87203">
        <w:rPr>
          <w:sz w:val="24"/>
          <w:szCs w:val="24"/>
        </w:rPr>
        <w:t>Why is the non-selective beta blocker carvedilol tolerated by decompensated patients and at the same time associated with</w:t>
      </w:r>
      <w:r w:rsidR="00D1016A" w:rsidRPr="00D87203">
        <w:rPr>
          <w:rFonts w:eastAsiaTheme="minorEastAsia"/>
          <w:sz w:val="24"/>
          <w:szCs w:val="24"/>
        </w:rPr>
        <w:t xml:space="preserve"> </w:t>
      </w:r>
      <w:r w:rsidR="00D1016A" w:rsidRPr="00D87203">
        <w:rPr>
          <w:sz w:val="24"/>
          <w:szCs w:val="24"/>
        </w:rPr>
        <w:t xml:space="preserve">increased survival? First of all, we should emphasize that, our patients were B category of the classification proposed by Nohria </w:t>
      </w:r>
      <w:r w:rsidR="0019719A" w:rsidRPr="00D87203">
        <w:rPr>
          <w:sz w:val="24"/>
          <w:szCs w:val="24"/>
        </w:rPr>
        <w:t>A. [</w:t>
      </w:r>
      <w:r w:rsidR="00A673B4" w:rsidRPr="00D87203">
        <w:rPr>
          <w:sz w:val="24"/>
          <w:szCs w:val="24"/>
        </w:rPr>
        <w:t>11</w:t>
      </w:r>
      <w:r w:rsidR="00EF0FCA" w:rsidRPr="00D87203">
        <w:rPr>
          <w:sz w:val="24"/>
          <w:szCs w:val="24"/>
        </w:rPr>
        <w:t>]</w:t>
      </w:r>
      <w:r w:rsidR="00D1016A" w:rsidRPr="00D87203">
        <w:rPr>
          <w:sz w:val="24"/>
          <w:szCs w:val="24"/>
        </w:rPr>
        <w:t xml:space="preserve">, et al </w:t>
      </w:r>
      <w:r w:rsidR="00C8641F" w:rsidRPr="00D87203">
        <w:rPr>
          <w:snapToGrid w:val="0"/>
          <w:sz w:val="24"/>
          <w:szCs w:val="24"/>
        </w:rPr>
        <w:t xml:space="preserve">in this investigation </w:t>
      </w:r>
      <w:r w:rsidR="00D1016A" w:rsidRPr="00D87203">
        <w:rPr>
          <w:sz w:val="24"/>
          <w:szCs w:val="24"/>
        </w:rPr>
        <w:t>Th</w:t>
      </w:r>
      <w:r w:rsidR="007A1F83" w:rsidRPr="00D87203">
        <w:rPr>
          <w:sz w:val="24"/>
          <w:szCs w:val="24"/>
        </w:rPr>
        <w:t xml:space="preserve">ey were predominantly </w:t>
      </w:r>
      <w:r w:rsidR="0086326F" w:rsidRPr="00D87203">
        <w:rPr>
          <w:sz w:val="24"/>
          <w:szCs w:val="24"/>
        </w:rPr>
        <w:t>congestive, with</w:t>
      </w:r>
      <w:r w:rsidR="007A1F83" w:rsidRPr="00D87203">
        <w:rPr>
          <w:sz w:val="24"/>
          <w:szCs w:val="24"/>
        </w:rPr>
        <w:t xml:space="preserve"> </w:t>
      </w:r>
      <w:r w:rsidR="0086326F" w:rsidRPr="00D87203">
        <w:rPr>
          <w:sz w:val="24"/>
          <w:szCs w:val="24"/>
        </w:rPr>
        <w:t>adequate</w:t>
      </w:r>
      <w:r w:rsidR="007A1F83" w:rsidRPr="00D87203">
        <w:rPr>
          <w:sz w:val="24"/>
          <w:szCs w:val="24"/>
        </w:rPr>
        <w:t xml:space="preserve"> perfusion pressure and </w:t>
      </w:r>
      <w:r w:rsidR="00541884" w:rsidRPr="00D87203">
        <w:rPr>
          <w:sz w:val="24"/>
          <w:szCs w:val="24"/>
        </w:rPr>
        <w:t>their</w:t>
      </w:r>
      <w:r w:rsidR="007A1F83" w:rsidRPr="00D87203">
        <w:rPr>
          <w:sz w:val="24"/>
          <w:szCs w:val="24"/>
        </w:rPr>
        <w:t xml:space="preserve"> baseline heart rate gradually over 96 hours observation period thus, </w:t>
      </w:r>
      <w:r w:rsidR="0019719A" w:rsidRPr="00D87203">
        <w:rPr>
          <w:sz w:val="24"/>
          <w:szCs w:val="24"/>
        </w:rPr>
        <w:t>cardiac sympathetic</w:t>
      </w:r>
      <w:r w:rsidR="00D1016A" w:rsidRPr="00D87203">
        <w:rPr>
          <w:sz w:val="24"/>
          <w:szCs w:val="24"/>
        </w:rPr>
        <w:t xml:space="preserve"> drive and its well-known deleterious consequences on the myocardium were attenuated [</w:t>
      </w:r>
      <w:r w:rsidR="00EE4F66" w:rsidRPr="00D87203">
        <w:rPr>
          <w:sz w:val="24"/>
          <w:szCs w:val="24"/>
        </w:rPr>
        <w:t>3</w:t>
      </w:r>
      <w:r w:rsidR="007B7802">
        <w:rPr>
          <w:sz w:val="24"/>
          <w:szCs w:val="24"/>
        </w:rPr>
        <w:t>5</w:t>
      </w:r>
      <w:r w:rsidR="00D1016A" w:rsidRPr="00D87203">
        <w:rPr>
          <w:sz w:val="24"/>
          <w:szCs w:val="24"/>
        </w:rPr>
        <w:t>-</w:t>
      </w:r>
      <w:r w:rsidR="00AC5D07" w:rsidRPr="00D87203">
        <w:rPr>
          <w:sz w:val="24"/>
          <w:szCs w:val="24"/>
        </w:rPr>
        <w:t>3</w:t>
      </w:r>
      <w:r w:rsidR="007B7802">
        <w:rPr>
          <w:sz w:val="24"/>
          <w:szCs w:val="24"/>
        </w:rPr>
        <w:t>6</w:t>
      </w:r>
      <w:r w:rsidR="00D1016A" w:rsidRPr="00D87203">
        <w:rPr>
          <w:sz w:val="24"/>
          <w:szCs w:val="24"/>
        </w:rPr>
        <w:t>]. Secondly, carvedilol increases renal blood flow [</w:t>
      </w:r>
      <w:r w:rsidR="00AC5D07" w:rsidRPr="00D87203">
        <w:rPr>
          <w:sz w:val="24"/>
          <w:szCs w:val="24"/>
        </w:rPr>
        <w:t>3</w:t>
      </w:r>
      <w:r w:rsidR="006F5CB1" w:rsidRPr="00D87203">
        <w:rPr>
          <w:sz w:val="24"/>
          <w:szCs w:val="24"/>
        </w:rPr>
        <w:t>5</w:t>
      </w:r>
      <w:r w:rsidR="00D1016A" w:rsidRPr="00D87203">
        <w:rPr>
          <w:sz w:val="24"/>
          <w:szCs w:val="24"/>
        </w:rPr>
        <w:t>] and decreases cardiac sympathetic drive to a greater extent than selective beta-adrenergic blockers [</w:t>
      </w:r>
      <w:r w:rsidR="00AC5D07" w:rsidRPr="00D87203">
        <w:rPr>
          <w:sz w:val="24"/>
          <w:szCs w:val="24"/>
        </w:rPr>
        <w:t>3</w:t>
      </w:r>
      <w:r w:rsidR="00590E20" w:rsidRPr="00D87203">
        <w:rPr>
          <w:sz w:val="24"/>
          <w:szCs w:val="24"/>
        </w:rPr>
        <w:t>6</w:t>
      </w:r>
      <w:r w:rsidR="00D1016A" w:rsidRPr="00D87203">
        <w:rPr>
          <w:sz w:val="24"/>
          <w:szCs w:val="24"/>
        </w:rPr>
        <w:t>]. Moreover, it appears to suppress aldosterone production [</w:t>
      </w:r>
      <w:r w:rsidR="0086326F" w:rsidRPr="00D87203">
        <w:rPr>
          <w:sz w:val="24"/>
          <w:szCs w:val="24"/>
        </w:rPr>
        <w:t>3</w:t>
      </w:r>
      <w:r w:rsidR="00590E20" w:rsidRPr="00D87203">
        <w:rPr>
          <w:sz w:val="24"/>
          <w:szCs w:val="24"/>
        </w:rPr>
        <w:t>7</w:t>
      </w:r>
      <w:r w:rsidR="00AC5D07" w:rsidRPr="00D87203">
        <w:rPr>
          <w:sz w:val="24"/>
          <w:szCs w:val="24"/>
        </w:rPr>
        <w:t>]</w:t>
      </w:r>
      <w:r w:rsidR="00D1016A" w:rsidRPr="00D87203">
        <w:rPr>
          <w:sz w:val="24"/>
          <w:szCs w:val="24"/>
        </w:rPr>
        <w:t>. All together, these mechanisms could diminish myocardial injury during compensation and contribute to prevent further damage and future cardiovascular events. Thirdly, the novel mechanism hypothesized by Fallick C et al, could by restoring systemic venous capacitance, contribute to prevent additional episodes of decompensation and myocardial injury [</w:t>
      </w:r>
      <w:r w:rsidR="008B28B5">
        <w:rPr>
          <w:sz w:val="24"/>
          <w:szCs w:val="24"/>
        </w:rPr>
        <w:t>25</w:t>
      </w:r>
      <w:r w:rsidR="00D1016A" w:rsidRPr="00D87203">
        <w:rPr>
          <w:sz w:val="24"/>
          <w:szCs w:val="24"/>
        </w:rPr>
        <w:t>]. In summary,</w:t>
      </w:r>
      <w:r w:rsidR="003D0B54">
        <w:rPr>
          <w:sz w:val="24"/>
          <w:szCs w:val="24"/>
        </w:rPr>
        <w:t xml:space="preserve"> </w:t>
      </w:r>
      <w:r w:rsidR="003D0B54" w:rsidRPr="00D87203">
        <w:rPr>
          <w:snapToGrid w:val="0"/>
          <w:sz w:val="24"/>
          <w:szCs w:val="24"/>
        </w:rPr>
        <w:t>we can conclude with this analysis that indicated, the medical treatment with Carvedilol was significantly associated to survival, only in those patients who were in sinus rthyms and cautious uptitration of carvedilol, is still decompensated with sinus rhythm, increases long term survival</w:t>
      </w:r>
      <w:r w:rsidR="003D0B54" w:rsidRPr="00D87203">
        <w:rPr>
          <w:sz w:val="24"/>
          <w:szCs w:val="24"/>
        </w:rPr>
        <w:t xml:space="preserve">. </w:t>
      </w:r>
      <w:r w:rsidR="00D1016A" w:rsidRPr="00D87203">
        <w:rPr>
          <w:sz w:val="24"/>
          <w:szCs w:val="24"/>
        </w:rPr>
        <w:t xml:space="preserve">the observed beneficial effects of cautious uptitration of carvedilol, in decompensated patients in sinus rhythm, are very likely due its unique pharmacological characteristic of </w:t>
      </w:r>
      <w:r w:rsidR="00D1016A" w:rsidRPr="00D87203">
        <w:rPr>
          <w:sz w:val="24"/>
          <w:szCs w:val="24"/>
        </w:rPr>
        <w:sym w:font="Symbol" w:char="F061"/>
      </w:r>
      <w:r w:rsidR="00D1016A" w:rsidRPr="00D87203">
        <w:rPr>
          <w:sz w:val="24"/>
          <w:szCs w:val="24"/>
        </w:rPr>
        <w:t xml:space="preserve"> and β </w:t>
      </w:r>
      <w:r w:rsidR="003D0B54" w:rsidRPr="00D87203">
        <w:rPr>
          <w:sz w:val="24"/>
          <w:szCs w:val="24"/>
        </w:rPr>
        <w:t>blocker</w:t>
      </w:r>
      <w:r w:rsidR="003D0B54">
        <w:rPr>
          <w:sz w:val="24"/>
          <w:szCs w:val="24"/>
        </w:rPr>
        <w:t xml:space="preserve"> [36]</w:t>
      </w:r>
      <w:r w:rsidR="00D1016A" w:rsidRPr="00D87203">
        <w:rPr>
          <w:sz w:val="24"/>
          <w:szCs w:val="24"/>
        </w:rPr>
        <w:t xml:space="preserve"> </w:t>
      </w:r>
    </w:p>
    <w:p w14:paraId="59F7DE26" w14:textId="77777777" w:rsidR="003D0B54" w:rsidRPr="00D87203" w:rsidRDefault="003D0B54" w:rsidP="003D0B54">
      <w:pPr>
        <w:pStyle w:val="20-SciencePG-Text"/>
        <w:ind w:firstLineChars="0" w:firstLine="708"/>
        <w:rPr>
          <w:snapToGrid w:val="0"/>
          <w:sz w:val="24"/>
          <w:szCs w:val="24"/>
        </w:rPr>
      </w:pPr>
    </w:p>
    <w:p w14:paraId="40FE1258" w14:textId="21B52D42" w:rsidR="002B5F70" w:rsidRPr="00D46C4B" w:rsidRDefault="002B5F70" w:rsidP="009C7D81">
      <w:pPr>
        <w:autoSpaceDE w:val="0"/>
        <w:autoSpaceDN w:val="0"/>
        <w:adjustRightInd w:val="0"/>
        <w:spacing w:after="0" w:line="276" w:lineRule="auto"/>
        <w:rPr>
          <w:rFonts w:ascii="Times New Roman" w:hAnsi="Times New Roman" w:cs="Times New Roman"/>
          <w:b/>
          <w:bCs/>
          <w:caps/>
          <w:sz w:val="24"/>
          <w:szCs w:val="24"/>
          <w:u w:val="single"/>
          <w:lang w:val="en-US"/>
        </w:rPr>
      </w:pPr>
      <w:r w:rsidRPr="00D46C4B">
        <w:rPr>
          <w:rFonts w:ascii="Times New Roman" w:hAnsi="Times New Roman" w:cs="Times New Roman"/>
          <w:b/>
          <w:bCs/>
          <w:caps/>
          <w:sz w:val="24"/>
          <w:szCs w:val="24"/>
          <w:u w:val="single"/>
          <w:lang w:val="en-US"/>
        </w:rPr>
        <w:t>References</w:t>
      </w:r>
    </w:p>
    <w:p w14:paraId="3E95F76C" w14:textId="77777777" w:rsidR="003A734E" w:rsidRPr="00790A25" w:rsidRDefault="003A734E" w:rsidP="00FC2FF8">
      <w:pPr>
        <w:autoSpaceDE w:val="0"/>
        <w:autoSpaceDN w:val="0"/>
        <w:adjustRightInd w:val="0"/>
        <w:spacing w:after="0" w:line="276" w:lineRule="auto"/>
        <w:rPr>
          <w:rFonts w:ascii="Times New Roman" w:hAnsi="Times New Roman" w:cs="Times New Roman"/>
          <w:b/>
          <w:bCs/>
          <w:sz w:val="24"/>
          <w:szCs w:val="24"/>
          <w:u w:val="single"/>
          <w:lang w:val="en-US"/>
        </w:rPr>
      </w:pPr>
    </w:p>
    <w:p w14:paraId="2A0964F4" w14:textId="7314A7ED" w:rsidR="00A90146" w:rsidRPr="000413CE" w:rsidRDefault="003A734E" w:rsidP="00ED71E1">
      <w:pPr>
        <w:pStyle w:val="34-SciencePG-References-content"/>
        <w:numPr>
          <w:ilvl w:val="0"/>
          <w:numId w:val="0"/>
        </w:numPr>
        <w:rPr>
          <w:snapToGrid w:val="0"/>
          <w:kern w:val="0"/>
          <w:sz w:val="24"/>
          <w:szCs w:val="24"/>
        </w:rPr>
      </w:pPr>
      <w:r w:rsidRPr="000413CE">
        <w:rPr>
          <w:snapToGrid w:val="0"/>
          <w:kern w:val="0"/>
          <w:sz w:val="24"/>
          <w:szCs w:val="24"/>
        </w:rPr>
        <w:t>[1] Tsutsui</w:t>
      </w:r>
      <w:r w:rsidR="00A90146" w:rsidRPr="000413CE">
        <w:rPr>
          <w:snapToGrid w:val="0"/>
          <w:kern w:val="0"/>
          <w:sz w:val="24"/>
          <w:szCs w:val="24"/>
        </w:rPr>
        <w:t xml:space="preserve"> M, Tsuchihashi M and Takeshita A. Mortality and Readmission of hospitalized Patients with Congestive Heart Failure and Preserved Versus Depressed Systolic Function.</w:t>
      </w:r>
      <w:r w:rsidR="00A90146" w:rsidRPr="000413CE">
        <w:rPr>
          <w:rFonts w:eastAsia="Arial"/>
          <w:b/>
          <w:snapToGrid w:val="0"/>
          <w:kern w:val="0"/>
          <w:sz w:val="24"/>
          <w:szCs w:val="24"/>
        </w:rPr>
        <w:t xml:space="preserve"> </w:t>
      </w:r>
      <w:r w:rsidR="00A90146" w:rsidRPr="000413CE">
        <w:rPr>
          <w:snapToGrid w:val="0"/>
          <w:kern w:val="0"/>
          <w:sz w:val="24"/>
          <w:szCs w:val="24"/>
        </w:rPr>
        <w:t>Am J Cardiol 2001;</w:t>
      </w:r>
      <w:r w:rsidR="00A90146" w:rsidRPr="000413CE">
        <w:rPr>
          <w:rFonts w:eastAsiaTheme="minorEastAsia"/>
          <w:snapToGrid w:val="0"/>
          <w:kern w:val="0"/>
          <w:sz w:val="24"/>
          <w:szCs w:val="24"/>
        </w:rPr>
        <w:t xml:space="preserve"> </w:t>
      </w:r>
      <w:r w:rsidR="00A90146" w:rsidRPr="000413CE">
        <w:rPr>
          <w:snapToGrid w:val="0"/>
          <w:kern w:val="0"/>
          <w:sz w:val="24"/>
          <w:szCs w:val="24"/>
        </w:rPr>
        <w:t>88:</w:t>
      </w:r>
      <w:r w:rsidR="00A90146" w:rsidRPr="000413CE">
        <w:rPr>
          <w:rFonts w:eastAsiaTheme="minorEastAsia"/>
          <w:snapToGrid w:val="0"/>
          <w:kern w:val="0"/>
          <w:sz w:val="24"/>
          <w:szCs w:val="24"/>
        </w:rPr>
        <w:t xml:space="preserve"> </w:t>
      </w:r>
      <w:r w:rsidR="00A90146" w:rsidRPr="000413CE">
        <w:rPr>
          <w:snapToGrid w:val="0"/>
          <w:kern w:val="0"/>
          <w:sz w:val="24"/>
          <w:szCs w:val="24"/>
        </w:rPr>
        <w:t>530–533.</w:t>
      </w:r>
    </w:p>
    <w:p w14:paraId="7A7B130C" w14:textId="3A8F3B07" w:rsidR="005443B0" w:rsidRPr="000413CE" w:rsidRDefault="005443B0" w:rsidP="005443B0">
      <w:pPr>
        <w:autoSpaceDE w:val="0"/>
        <w:autoSpaceDN w:val="0"/>
        <w:adjustRightInd w:val="0"/>
        <w:spacing w:after="0" w:line="240" w:lineRule="auto"/>
        <w:rPr>
          <w:rFonts w:ascii="Times New Roman" w:hAnsi="Times New Roman" w:cs="Times New Roman"/>
          <w:sz w:val="24"/>
          <w:szCs w:val="24"/>
        </w:rPr>
      </w:pPr>
      <w:r w:rsidRPr="000413CE">
        <w:rPr>
          <w:rFonts w:ascii="Times New Roman" w:hAnsi="Times New Roman" w:cs="Times New Roman"/>
          <w:sz w:val="24"/>
          <w:szCs w:val="24"/>
          <w:lang w:val="en-US"/>
        </w:rPr>
        <w:t xml:space="preserve">[2] </w:t>
      </w:r>
      <w:r w:rsidRPr="000413CE">
        <w:rPr>
          <w:rFonts w:ascii="Times New Roman" w:hAnsi="Times New Roman" w:cs="Times New Roman"/>
          <w:sz w:val="24"/>
          <w:szCs w:val="24"/>
          <w:lang w:val="en-US"/>
        </w:rPr>
        <w:t>Redfield MM. Heart failure—an epidemic of uncertain proportions.</w:t>
      </w:r>
      <w:r w:rsidRPr="000413CE">
        <w:rPr>
          <w:rFonts w:ascii="Times New Roman" w:hAnsi="Times New Roman" w:cs="Times New Roman"/>
          <w:sz w:val="24"/>
          <w:szCs w:val="24"/>
          <w:lang w:val="en-US"/>
        </w:rPr>
        <w:t xml:space="preserve"> </w:t>
      </w:r>
      <w:r w:rsidRPr="000413CE">
        <w:rPr>
          <w:rFonts w:ascii="Times New Roman" w:hAnsi="Times New Roman" w:cs="Times New Roman"/>
          <w:sz w:val="24"/>
          <w:szCs w:val="24"/>
        </w:rPr>
        <w:t xml:space="preserve">New Eng J Med </w:t>
      </w:r>
      <w:r w:rsidRPr="000413CE">
        <w:rPr>
          <w:rFonts w:ascii="Times New Roman" w:hAnsi="Times New Roman" w:cs="Times New Roman"/>
          <w:sz w:val="24"/>
          <w:szCs w:val="24"/>
        </w:rPr>
        <w:t>002; 347:1397</w:t>
      </w:r>
      <w:r w:rsidRPr="000413CE">
        <w:rPr>
          <w:rFonts w:ascii="Times New Roman" w:hAnsi="Times New Roman" w:cs="Times New Roman"/>
          <w:sz w:val="24"/>
          <w:szCs w:val="24"/>
        </w:rPr>
        <w:t>–402</w:t>
      </w:r>
    </w:p>
    <w:p w14:paraId="23D84F3D" w14:textId="77777777" w:rsidR="00051790" w:rsidRPr="000413CE" w:rsidRDefault="00051790" w:rsidP="005443B0">
      <w:pPr>
        <w:autoSpaceDE w:val="0"/>
        <w:autoSpaceDN w:val="0"/>
        <w:adjustRightInd w:val="0"/>
        <w:spacing w:after="0" w:line="240" w:lineRule="auto"/>
        <w:rPr>
          <w:rFonts w:ascii="Times New Roman" w:hAnsi="Times New Roman" w:cs="Times New Roman"/>
          <w:sz w:val="24"/>
          <w:szCs w:val="24"/>
        </w:rPr>
      </w:pPr>
    </w:p>
    <w:p w14:paraId="10BCD906" w14:textId="54FE5725" w:rsidR="00051790" w:rsidRPr="000413CE" w:rsidRDefault="00051790" w:rsidP="00051790">
      <w:pPr>
        <w:pStyle w:val="34-SciencePG-References-content"/>
        <w:numPr>
          <w:ilvl w:val="0"/>
          <w:numId w:val="0"/>
        </w:numPr>
        <w:rPr>
          <w:snapToGrid w:val="0"/>
          <w:kern w:val="0"/>
          <w:sz w:val="24"/>
          <w:szCs w:val="24"/>
        </w:rPr>
      </w:pPr>
      <w:r w:rsidRPr="000413CE">
        <w:rPr>
          <w:snapToGrid w:val="0"/>
          <w:kern w:val="0"/>
          <w:sz w:val="24"/>
          <w:szCs w:val="24"/>
        </w:rPr>
        <w:t xml:space="preserve">[3] </w:t>
      </w:r>
      <w:r w:rsidRPr="000413CE">
        <w:rPr>
          <w:snapToGrid w:val="0"/>
          <w:kern w:val="0"/>
          <w:sz w:val="24"/>
          <w:szCs w:val="24"/>
        </w:rPr>
        <w:t>Feinglass J, Lee PI, Mehta S, Schmitt B, Lefevre F, Gheorghiade M Systolic function, readmission rates, and survival among consecutively hospitalized patients with congestive heart failure. Am Heart J 1997;</w:t>
      </w:r>
      <w:r w:rsidRPr="000413CE">
        <w:rPr>
          <w:rFonts w:eastAsiaTheme="minorEastAsia"/>
          <w:snapToGrid w:val="0"/>
          <w:kern w:val="0"/>
          <w:sz w:val="24"/>
          <w:szCs w:val="24"/>
        </w:rPr>
        <w:t xml:space="preserve"> </w:t>
      </w:r>
      <w:r w:rsidRPr="000413CE">
        <w:rPr>
          <w:snapToGrid w:val="0"/>
          <w:kern w:val="0"/>
          <w:sz w:val="24"/>
          <w:szCs w:val="24"/>
        </w:rPr>
        <w:t>134: 728-736.</w:t>
      </w:r>
    </w:p>
    <w:p w14:paraId="7449D95B" w14:textId="1B5FA036" w:rsidR="00FD066C" w:rsidRPr="000413CE" w:rsidRDefault="00FD066C" w:rsidP="00FD066C">
      <w:pPr>
        <w:pStyle w:val="34-SciencePG-References-content"/>
        <w:numPr>
          <w:ilvl w:val="0"/>
          <w:numId w:val="0"/>
        </w:numPr>
        <w:rPr>
          <w:snapToGrid w:val="0"/>
          <w:kern w:val="0"/>
          <w:sz w:val="24"/>
          <w:szCs w:val="24"/>
        </w:rPr>
      </w:pPr>
      <w:r w:rsidRPr="000413CE">
        <w:rPr>
          <w:snapToGrid w:val="0"/>
          <w:kern w:val="0"/>
          <w:sz w:val="24"/>
          <w:szCs w:val="24"/>
        </w:rPr>
        <w:t>[4]</w:t>
      </w:r>
      <w:r w:rsidR="000413CE" w:rsidRPr="000413CE">
        <w:rPr>
          <w:snapToGrid w:val="0"/>
          <w:kern w:val="0"/>
          <w:sz w:val="24"/>
          <w:szCs w:val="24"/>
        </w:rPr>
        <w:t xml:space="preserve"> </w:t>
      </w:r>
      <w:r w:rsidRPr="000413CE">
        <w:rPr>
          <w:snapToGrid w:val="0"/>
          <w:kern w:val="0"/>
          <w:sz w:val="24"/>
          <w:szCs w:val="24"/>
        </w:rPr>
        <w:t>Solomon SD, Dobson J, Pocock S, Skali H, McMurray JJ, Granger CB et al. Candesartan in Heart failure: Assessment of Reduction in Mortality and morbidity (CHARM) Investigators. Influence of nonfatal hospitalization for heart failure on subsequent mortality in patients with chronic heart failure. Circ 2007;</w:t>
      </w:r>
      <w:r w:rsidRPr="000413CE">
        <w:rPr>
          <w:rFonts w:eastAsiaTheme="minorEastAsia"/>
          <w:snapToGrid w:val="0"/>
          <w:kern w:val="0"/>
          <w:sz w:val="24"/>
          <w:szCs w:val="24"/>
        </w:rPr>
        <w:t xml:space="preserve"> </w:t>
      </w:r>
      <w:r w:rsidRPr="000413CE">
        <w:rPr>
          <w:snapToGrid w:val="0"/>
          <w:kern w:val="0"/>
          <w:sz w:val="24"/>
          <w:szCs w:val="24"/>
        </w:rPr>
        <w:t>116:</w:t>
      </w:r>
      <w:r w:rsidRPr="000413CE">
        <w:rPr>
          <w:rFonts w:eastAsiaTheme="minorEastAsia"/>
          <w:snapToGrid w:val="0"/>
          <w:kern w:val="0"/>
          <w:sz w:val="24"/>
          <w:szCs w:val="24"/>
        </w:rPr>
        <w:t xml:space="preserve"> </w:t>
      </w:r>
      <w:r w:rsidRPr="000413CE">
        <w:rPr>
          <w:snapToGrid w:val="0"/>
          <w:kern w:val="0"/>
          <w:sz w:val="24"/>
          <w:szCs w:val="24"/>
        </w:rPr>
        <w:t>1482-1487.</w:t>
      </w:r>
    </w:p>
    <w:p w14:paraId="750BD415" w14:textId="02472B86" w:rsidR="003958AF" w:rsidRPr="000413CE" w:rsidRDefault="003958AF" w:rsidP="003958AF">
      <w:pPr>
        <w:autoSpaceDE w:val="0"/>
        <w:autoSpaceDN w:val="0"/>
        <w:adjustRightInd w:val="0"/>
        <w:spacing w:after="0" w:line="240" w:lineRule="auto"/>
        <w:rPr>
          <w:rFonts w:ascii="AdvTT6120e2aa" w:hAnsi="AdvTT6120e2aa" w:cs="AdvTT6120e2aa"/>
          <w:sz w:val="24"/>
          <w:szCs w:val="24"/>
          <w:lang w:val="en-US"/>
        </w:rPr>
      </w:pPr>
      <w:r w:rsidRPr="000413CE">
        <w:rPr>
          <w:rFonts w:ascii="AdvTT6120e2aa" w:hAnsi="AdvTT6120e2aa" w:cs="AdvTT6120e2aa"/>
          <w:sz w:val="24"/>
          <w:szCs w:val="24"/>
          <w:lang w:val="en-US"/>
        </w:rPr>
        <w:t>[</w:t>
      </w:r>
      <w:r w:rsidR="000413CE" w:rsidRPr="000413CE">
        <w:rPr>
          <w:rFonts w:ascii="AdvTT6120e2aa" w:hAnsi="AdvTT6120e2aa" w:cs="AdvTT6120e2aa"/>
          <w:sz w:val="24"/>
          <w:szCs w:val="24"/>
          <w:lang w:val="en-US"/>
        </w:rPr>
        <w:t>5] FrancisGS</w:t>
      </w:r>
      <w:r w:rsidRPr="000413CE">
        <w:rPr>
          <w:rFonts w:ascii="AdvTT6120e2aa" w:hAnsi="AdvTT6120e2aa" w:cs="AdvTT6120e2aa"/>
          <w:sz w:val="24"/>
          <w:szCs w:val="24"/>
          <w:lang w:val="en-US"/>
        </w:rPr>
        <w:t xml:space="preserve">, </w:t>
      </w:r>
      <w:r w:rsidR="000413CE" w:rsidRPr="000413CE">
        <w:rPr>
          <w:rFonts w:ascii="AdvTT6120e2aa" w:hAnsi="AdvTT6120e2aa" w:cs="AdvTT6120e2aa"/>
          <w:sz w:val="24"/>
          <w:szCs w:val="24"/>
          <w:lang w:val="en-US"/>
        </w:rPr>
        <w:t>SiegelRM, Goldsmith</w:t>
      </w:r>
      <w:r w:rsidRPr="000413CE">
        <w:rPr>
          <w:rFonts w:ascii="AdvTT6120e2aa" w:hAnsi="AdvTT6120e2aa" w:cs="AdvTT6120e2aa"/>
          <w:sz w:val="24"/>
          <w:szCs w:val="24"/>
          <w:lang w:val="en-US"/>
        </w:rPr>
        <w:t xml:space="preserve"> </w:t>
      </w:r>
      <w:r w:rsidR="000413CE" w:rsidRPr="000413CE">
        <w:rPr>
          <w:rFonts w:ascii="AdvTT6120e2aa" w:hAnsi="AdvTT6120e2aa" w:cs="AdvTT6120e2aa"/>
          <w:sz w:val="24"/>
          <w:szCs w:val="24"/>
          <w:lang w:val="en-US"/>
        </w:rPr>
        <w:t>SR, OlivariTM</w:t>
      </w:r>
      <w:r w:rsidRPr="000413CE">
        <w:rPr>
          <w:rFonts w:ascii="AdvTT6120e2aa" w:hAnsi="AdvTT6120e2aa" w:cs="AdvTT6120e2aa"/>
          <w:sz w:val="24"/>
          <w:szCs w:val="24"/>
          <w:lang w:val="en-US"/>
        </w:rPr>
        <w:t xml:space="preserve">, LevineTB, Cohn </w:t>
      </w:r>
      <w:r w:rsidR="000413CE" w:rsidRPr="000413CE">
        <w:rPr>
          <w:rFonts w:ascii="AdvTT6120e2aa" w:hAnsi="AdvTT6120e2aa" w:cs="AdvTT6120e2aa"/>
          <w:sz w:val="24"/>
          <w:szCs w:val="24"/>
          <w:lang w:val="en-US"/>
        </w:rPr>
        <w:t>JN. Acute</w:t>
      </w:r>
      <w:r w:rsidRPr="000413CE">
        <w:rPr>
          <w:rFonts w:ascii="AdvTT6120e2aa" w:hAnsi="AdvTT6120e2aa" w:cs="AdvTT6120e2aa"/>
          <w:sz w:val="24"/>
          <w:szCs w:val="24"/>
          <w:lang w:val="en-US"/>
        </w:rPr>
        <w:t xml:space="preserve"> vasoconstrictor response to intravenous furosemide in patient</w:t>
      </w:r>
      <w:r w:rsidR="000413CE" w:rsidRPr="000413CE">
        <w:rPr>
          <w:rFonts w:ascii="AdvTT6120e2aa" w:hAnsi="AdvTT6120e2aa" w:cs="AdvTT6120e2aa"/>
          <w:sz w:val="24"/>
          <w:szCs w:val="24"/>
          <w:lang w:val="en-US"/>
        </w:rPr>
        <w:t xml:space="preserve"> </w:t>
      </w:r>
      <w:proofErr w:type="spellStart"/>
      <w:r w:rsidRPr="000413CE">
        <w:rPr>
          <w:rFonts w:ascii="AdvTT6120e2aa" w:hAnsi="AdvTT6120e2aa" w:cs="AdvTT6120e2aa"/>
          <w:sz w:val="24"/>
          <w:szCs w:val="24"/>
          <w:lang w:val="en-US"/>
        </w:rPr>
        <w:t>swith</w:t>
      </w:r>
      <w:proofErr w:type="spellEnd"/>
      <w:r w:rsidRPr="000413CE">
        <w:rPr>
          <w:rFonts w:ascii="AdvTT6120e2aa" w:hAnsi="AdvTT6120e2aa" w:cs="AdvTT6120e2aa"/>
          <w:sz w:val="24"/>
          <w:szCs w:val="24"/>
          <w:lang w:val="en-US"/>
        </w:rPr>
        <w:t xml:space="preserve"> chronic congestive heart failure. Ann Intern Med </w:t>
      </w:r>
      <w:r w:rsidR="000413CE" w:rsidRPr="000413CE">
        <w:rPr>
          <w:rFonts w:ascii="AdvTT6120e2aa" w:hAnsi="AdvTT6120e2aa" w:cs="AdvTT6120e2aa"/>
          <w:sz w:val="24"/>
          <w:szCs w:val="24"/>
          <w:lang w:val="en-US"/>
        </w:rPr>
        <w:t>1985; 103:1</w:t>
      </w:r>
      <w:r w:rsidRPr="000413CE">
        <w:rPr>
          <w:rFonts w:ascii="AdvTT6120e2aa+20" w:hAnsi="AdvTT6120e2aa+20" w:cs="AdvTT6120e2aa+20"/>
          <w:sz w:val="24"/>
          <w:szCs w:val="24"/>
          <w:lang w:val="en-US"/>
        </w:rPr>
        <w:t>–</w:t>
      </w:r>
      <w:r w:rsidRPr="000413CE">
        <w:rPr>
          <w:rFonts w:ascii="AdvTT6120e2aa" w:hAnsi="AdvTT6120e2aa" w:cs="AdvTT6120e2aa"/>
          <w:sz w:val="24"/>
          <w:szCs w:val="24"/>
          <w:lang w:val="en-US"/>
        </w:rPr>
        <w:t>6.</w:t>
      </w:r>
    </w:p>
    <w:p w14:paraId="61D4179F" w14:textId="77777777" w:rsidR="003958AF" w:rsidRPr="000413CE" w:rsidRDefault="003958AF" w:rsidP="003958AF">
      <w:pPr>
        <w:autoSpaceDE w:val="0"/>
        <w:autoSpaceDN w:val="0"/>
        <w:adjustRightInd w:val="0"/>
        <w:spacing w:after="0" w:line="240" w:lineRule="auto"/>
        <w:rPr>
          <w:rFonts w:ascii="AdvTT6120e2aa" w:hAnsi="AdvTT6120e2aa" w:cs="AdvTT6120e2aa"/>
          <w:sz w:val="24"/>
          <w:szCs w:val="24"/>
          <w:lang w:val="en-US"/>
        </w:rPr>
      </w:pPr>
    </w:p>
    <w:p w14:paraId="209B217B" w14:textId="23870E90" w:rsidR="003958AF" w:rsidRPr="000413CE" w:rsidRDefault="003958AF" w:rsidP="003958AF">
      <w:pPr>
        <w:autoSpaceDE w:val="0"/>
        <w:autoSpaceDN w:val="0"/>
        <w:adjustRightInd w:val="0"/>
        <w:spacing w:after="0" w:line="240" w:lineRule="auto"/>
        <w:rPr>
          <w:rFonts w:ascii="AdvTT6120e2aa" w:hAnsi="AdvTT6120e2aa" w:cs="AdvTT6120e2aa"/>
          <w:sz w:val="24"/>
          <w:szCs w:val="24"/>
          <w:lang w:val="en-US"/>
        </w:rPr>
      </w:pPr>
      <w:r w:rsidRPr="000413CE">
        <w:rPr>
          <w:rFonts w:ascii="AdvTT6120e2aa" w:hAnsi="AdvTT6120e2aa" w:cs="AdvTT6120e2aa"/>
          <w:sz w:val="24"/>
          <w:szCs w:val="24"/>
          <w:lang w:val="en-US"/>
        </w:rPr>
        <w:t>[</w:t>
      </w:r>
      <w:r w:rsidRPr="000413CE">
        <w:rPr>
          <w:rFonts w:ascii="AdvTT6120e2aa" w:hAnsi="AdvTT6120e2aa" w:cs="AdvTT6120e2aa"/>
          <w:sz w:val="24"/>
          <w:szCs w:val="24"/>
          <w:lang w:val="en-US"/>
        </w:rPr>
        <w:t>6</w:t>
      </w:r>
      <w:r w:rsidRPr="000413CE">
        <w:rPr>
          <w:rFonts w:ascii="AdvTT6120e2aa" w:hAnsi="AdvTT6120e2aa" w:cs="AdvTT6120e2aa"/>
          <w:sz w:val="24"/>
          <w:szCs w:val="24"/>
          <w:lang w:val="en-US"/>
        </w:rPr>
        <w:t xml:space="preserve">] Constanzo MR, Johannes RS, Pine M, et al. The safety of </w:t>
      </w:r>
      <w:r w:rsidR="000413CE" w:rsidRPr="000413CE">
        <w:rPr>
          <w:rFonts w:ascii="AdvTT6120e2aa" w:hAnsi="AdvTT6120e2aa" w:cs="AdvTT6120e2aa"/>
          <w:sz w:val="24"/>
          <w:szCs w:val="24"/>
          <w:lang w:val="en-US"/>
        </w:rPr>
        <w:t>intravenous diuretics</w:t>
      </w:r>
      <w:r w:rsidRPr="000413CE">
        <w:rPr>
          <w:rFonts w:ascii="AdvTT6120e2aa" w:hAnsi="AdvTT6120e2aa" w:cs="AdvTT6120e2aa"/>
          <w:sz w:val="24"/>
          <w:szCs w:val="24"/>
          <w:lang w:val="en-US"/>
        </w:rPr>
        <w:t xml:space="preserve"> alone versus diuretics plus parenteral vasoactive therapies </w:t>
      </w:r>
      <w:r w:rsidR="000413CE" w:rsidRPr="000413CE">
        <w:rPr>
          <w:rFonts w:ascii="AdvTT6120e2aa" w:hAnsi="AdvTT6120e2aa" w:cs="AdvTT6120e2aa"/>
          <w:sz w:val="24"/>
          <w:szCs w:val="24"/>
          <w:lang w:val="en-US"/>
        </w:rPr>
        <w:t>in hospitalized</w:t>
      </w:r>
      <w:r w:rsidRPr="000413CE">
        <w:rPr>
          <w:rFonts w:ascii="AdvTT6120e2aa" w:hAnsi="AdvTT6120e2aa" w:cs="AdvTT6120e2aa"/>
          <w:sz w:val="24"/>
          <w:szCs w:val="24"/>
          <w:lang w:val="en-US"/>
        </w:rPr>
        <w:t xml:space="preserve"> patients with acutely decompensated heart failure: a</w:t>
      </w:r>
    </w:p>
    <w:p w14:paraId="7CA62E73" w14:textId="7F6EB6E0" w:rsidR="00051790" w:rsidRPr="000413CE" w:rsidRDefault="00051790" w:rsidP="00051790">
      <w:pPr>
        <w:autoSpaceDE w:val="0"/>
        <w:autoSpaceDN w:val="0"/>
        <w:adjustRightInd w:val="0"/>
        <w:spacing w:after="0" w:line="240" w:lineRule="auto"/>
        <w:rPr>
          <w:rFonts w:ascii="AdvTT6120e2aa" w:hAnsi="AdvTT6120e2aa" w:cs="AdvTT6120e2aa"/>
          <w:sz w:val="24"/>
          <w:szCs w:val="24"/>
          <w:lang w:val="en-US"/>
        </w:rPr>
      </w:pPr>
    </w:p>
    <w:p w14:paraId="04A4A3AC" w14:textId="43376510" w:rsidR="00984553" w:rsidRPr="000413CE" w:rsidRDefault="00984553" w:rsidP="00984553">
      <w:pPr>
        <w:pStyle w:val="34-SciencePG-References-content"/>
        <w:numPr>
          <w:ilvl w:val="0"/>
          <w:numId w:val="0"/>
        </w:numPr>
        <w:rPr>
          <w:snapToGrid w:val="0"/>
          <w:kern w:val="0"/>
          <w:sz w:val="24"/>
          <w:szCs w:val="24"/>
        </w:rPr>
      </w:pPr>
      <w:r w:rsidRPr="000413CE">
        <w:rPr>
          <w:snapToGrid w:val="0"/>
          <w:kern w:val="0"/>
          <w:sz w:val="24"/>
          <w:szCs w:val="24"/>
        </w:rPr>
        <w:t>[</w:t>
      </w:r>
      <w:r w:rsidR="003958AF" w:rsidRPr="000413CE">
        <w:rPr>
          <w:snapToGrid w:val="0"/>
          <w:kern w:val="0"/>
          <w:sz w:val="24"/>
          <w:szCs w:val="24"/>
        </w:rPr>
        <w:t>7</w:t>
      </w:r>
      <w:r w:rsidRPr="000413CE">
        <w:rPr>
          <w:snapToGrid w:val="0"/>
          <w:kern w:val="0"/>
          <w:sz w:val="24"/>
          <w:szCs w:val="24"/>
        </w:rPr>
        <w:t xml:space="preserve">] </w:t>
      </w:r>
      <w:r w:rsidRPr="000413CE">
        <w:rPr>
          <w:snapToGrid w:val="0"/>
          <w:kern w:val="0"/>
          <w:sz w:val="24"/>
          <w:szCs w:val="24"/>
        </w:rPr>
        <w:t>Konishi M, Maejima Y, Inagaki H, Clinical characteristics of acute decompensated heart failure with rapid onset symptoms. J Card Fail 2009;</w:t>
      </w:r>
      <w:r w:rsidRPr="000413CE">
        <w:rPr>
          <w:rFonts w:eastAsiaTheme="minorEastAsia"/>
          <w:snapToGrid w:val="0"/>
          <w:kern w:val="0"/>
          <w:sz w:val="24"/>
          <w:szCs w:val="24"/>
        </w:rPr>
        <w:t xml:space="preserve"> </w:t>
      </w:r>
      <w:r w:rsidRPr="000413CE">
        <w:rPr>
          <w:snapToGrid w:val="0"/>
          <w:kern w:val="0"/>
          <w:sz w:val="24"/>
          <w:szCs w:val="24"/>
        </w:rPr>
        <w:t>15:</w:t>
      </w:r>
      <w:r w:rsidRPr="000413CE">
        <w:rPr>
          <w:rFonts w:eastAsiaTheme="minorEastAsia"/>
          <w:snapToGrid w:val="0"/>
          <w:kern w:val="0"/>
          <w:sz w:val="24"/>
          <w:szCs w:val="24"/>
        </w:rPr>
        <w:t xml:space="preserve"> </w:t>
      </w:r>
      <w:r w:rsidRPr="000413CE">
        <w:rPr>
          <w:snapToGrid w:val="0"/>
          <w:kern w:val="0"/>
          <w:sz w:val="24"/>
          <w:szCs w:val="24"/>
        </w:rPr>
        <w:t>300-304.</w:t>
      </w:r>
    </w:p>
    <w:p w14:paraId="3B27B42F" w14:textId="19ADC116" w:rsidR="00984553" w:rsidRPr="000413CE" w:rsidRDefault="00984553" w:rsidP="00984553">
      <w:pPr>
        <w:pStyle w:val="34-SciencePG-References-content"/>
        <w:numPr>
          <w:ilvl w:val="0"/>
          <w:numId w:val="0"/>
        </w:numPr>
        <w:tabs>
          <w:tab w:val="num" w:pos="0"/>
        </w:tabs>
        <w:rPr>
          <w:snapToGrid w:val="0"/>
          <w:kern w:val="0"/>
          <w:sz w:val="24"/>
          <w:szCs w:val="24"/>
        </w:rPr>
      </w:pPr>
      <w:r w:rsidRPr="000413CE">
        <w:rPr>
          <w:snapToGrid w:val="0"/>
          <w:kern w:val="0"/>
          <w:sz w:val="24"/>
          <w:szCs w:val="24"/>
        </w:rPr>
        <w:t>[</w:t>
      </w:r>
      <w:r w:rsidR="003958AF" w:rsidRPr="000413CE">
        <w:rPr>
          <w:snapToGrid w:val="0"/>
          <w:kern w:val="0"/>
          <w:sz w:val="24"/>
          <w:szCs w:val="24"/>
        </w:rPr>
        <w:t>8]</w:t>
      </w:r>
      <w:r w:rsidRPr="000413CE">
        <w:rPr>
          <w:snapToGrid w:val="0"/>
          <w:kern w:val="0"/>
          <w:sz w:val="24"/>
          <w:szCs w:val="24"/>
        </w:rPr>
        <w:t xml:space="preserve"> Schiff GD, Fung S, Speroff T, Mcnutt RA. Decompensated heart failure: Symptoms, patterns of onset and contributing factors. Am J Med 2003; 114:</w:t>
      </w:r>
      <w:r w:rsidRPr="000413CE">
        <w:rPr>
          <w:rFonts w:eastAsiaTheme="minorEastAsia"/>
          <w:snapToGrid w:val="0"/>
          <w:kern w:val="0"/>
          <w:sz w:val="24"/>
          <w:szCs w:val="24"/>
        </w:rPr>
        <w:t xml:space="preserve"> </w:t>
      </w:r>
      <w:r w:rsidRPr="000413CE">
        <w:rPr>
          <w:snapToGrid w:val="0"/>
          <w:kern w:val="0"/>
          <w:sz w:val="24"/>
          <w:szCs w:val="24"/>
        </w:rPr>
        <w:t>625-630.</w:t>
      </w:r>
    </w:p>
    <w:p w14:paraId="7D383979" w14:textId="424B6B54" w:rsidR="00984553" w:rsidRPr="000413CE" w:rsidRDefault="00984553" w:rsidP="00984553">
      <w:pPr>
        <w:pStyle w:val="34-SciencePG-References-content"/>
        <w:numPr>
          <w:ilvl w:val="0"/>
          <w:numId w:val="0"/>
        </w:numPr>
        <w:tabs>
          <w:tab w:val="num" w:pos="0"/>
        </w:tabs>
        <w:rPr>
          <w:snapToGrid w:val="0"/>
          <w:kern w:val="0"/>
          <w:sz w:val="24"/>
          <w:szCs w:val="24"/>
        </w:rPr>
      </w:pPr>
      <w:r w:rsidRPr="000413CE">
        <w:rPr>
          <w:snapToGrid w:val="0"/>
          <w:kern w:val="0"/>
          <w:sz w:val="24"/>
          <w:szCs w:val="24"/>
        </w:rPr>
        <w:t>[</w:t>
      </w:r>
      <w:r w:rsidR="003958AF" w:rsidRPr="000413CE">
        <w:rPr>
          <w:snapToGrid w:val="0"/>
          <w:kern w:val="0"/>
          <w:sz w:val="24"/>
          <w:szCs w:val="24"/>
        </w:rPr>
        <w:t>9</w:t>
      </w:r>
      <w:r w:rsidRPr="000413CE">
        <w:rPr>
          <w:snapToGrid w:val="0"/>
          <w:kern w:val="0"/>
          <w:sz w:val="24"/>
          <w:szCs w:val="24"/>
        </w:rPr>
        <w:t>] Drazner MH, Hellkamp AS, Leier CV, Shah MR, Miller LW, Russell SD et al. Value of clinician assessment of hemodynamics in advanced heart failure. Circ Heart Fail 2008;</w:t>
      </w:r>
      <w:r w:rsidRPr="000413CE">
        <w:rPr>
          <w:rFonts w:eastAsiaTheme="minorEastAsia"/>
          <w:snapToGrid w:val="0"/>
          <w:kern w:val="0"/>
          <w:sz w:val="24"/>
          <w:szCs w:val="24"/>
        </w:rPr>
        <w:t xml:space="preserve"> </w:t>
      </w:r>
      <w:r w:rsidRPr="000413CE">
        <w:rPr>
          <w:snapToGrid w:val="0"/>
          <w:kern w:val="0"/>
          <w:sz w:val="24"/>
          <w:szCs w:val="24"/>
        </w:rPr>
        <w:t>1: 170-177.</w:t>
      </w:r>
    </w:p>
    <w:p w14:paraId="7101E551" w14:textId="626140BE" w:rsidR="00984553" w:rsidRPr="000413CE" w:rsidRDefault="00984553" w:rsidP="00984553">
      <w:pPr>
        <w:pStyle w:val="34-SciencePG-References-content"/>
        <w:numPr>
          <w:ilvl w:val="0"/>
          <w:numId w:val="0"/>
        </w:numPr>
        <w:tabs>
          <w:tab w:val="num" w:pos="0"/>
        </w:tabs>
        <w:rPr>
          <w:snapToGrid w:val="0"/>
          <w:kern w:val="0"/>
          <w:sz w:val="24"/>
          <w:szCs w:val="24"/>
        </w:rPr>
      </w:pPr>
      <w:r w:rsidRPr="000413CE">
        <w:rPr>
          <w:snapToGrid w:val="0"/>
          <w:kern w:val="0"/>
          <w:sz w:val="24"/>
          <w:szCs w:val="24"/>
        </w:rPr>
        <w:t>[7] Nohria A, Tsang SW, Fang JC, Lewis EF, Jarcho JA, Mudge GH et al. Clinical assessment identifies hemodynamic profiles that predict outcomes in patients admitted with heart failure. J Am Coll Cardiol 2003;</w:t>
      </w:r>
      <w:r w:rsidRPr="000413CE">
        <w:rPr>
          <w:rFonts w:eastAsiaTheme="minorEastAsia"/>
          <w:snapToGrid w:val="0"/>
          <w:kern w:val="0"/>
          <w:sz w:val="24"/>
          <w:szCs w:val="24"/>
        </w:rPr>
        <w:t xml:space="preserve"> </w:t>
      </w:r>
      <w:r w:rsidRPr="000413CE">
        <w:rPr>
          <w:snapToGrid w:val="0"/>
          <w:kern w:val="0"/>
          <w:sz w:val="24"/>
          <w:szCs w:val="24"/>
        </w:rPr>
        <w:t>41:</w:t>
      </w:r>
      <w:r w:rsidRPr="000413CE">
        <w:rPr>
          <w:rFonts w:eastAsiaTheme="minorEastAsia"/>
          <w:snapToGrid w:val="0"/>
          <w:kern w:val="0"/>
          <w:sz w:val="24"/>
          <w:szCs w:val="24"/>
        </w:rPr>
        <w:t xml:space="preserve"> </w:t>
      </w:r>
      <w:r w:rsidRPr="000413CE">
        <w:rPr>
          <w:snapToGrid w:val="0"/>
          <w:kern w:val="0"/>
          <w:sz w:val="24"/>
          <w:szCs w:val="24"/>
        </w:rPr>
        <w:t>1797-1784.</w:t>
      </w:r>
    </w:p>
    <w:p w14:paraId="63CB6C09" w14:textId="079F8798" w:rsidR="003958AF" w:rsidRPr="000413CE" w:rsidRDefault="003958AF" w:rsidP="003958AF">
      <w:pPr>
        <w:pStyle w:val="34-SciencePG-References-content"/>
        <w:numPr>
          <w:ilvl w:val="0"/>
          <w:numId w:val="0"/>
        </w:numPr>
        <w:rPr>
          <w:snapToGrid w:val="0"/>
          <w:kern w:val="0"/>
          <w:sz w:val="24"/>
          <w:szCs w:val="24"/>
        </w:rPr>
      </w:pPr>
      <w:r w:rsidRPr="000413CE">
        <w:rPr>
          <w:snapToGrid w:val="0"/>
          <w:kern w:val="0"/>
          <w:sz w:val="24"/>
          <w:szCs w:val="24"/>
        </w:rPr>
        <w:t>[8]</w:t>
      </w:r>
      <w:r w:rsidR="003C5902" w:rsidRPr="000413CE">
        <w:rPr>
          <w:snapToGrid w:val="0"/>
          <w:kern w:val="0"/>
          <w:sz w:val="24"/>
          <w:szCs w:val="24"/>
        </w:rPr>
        <w:t xml:space="preserve"> </w:t>
      </w:r>
      <w:r w:rsidRPr="000413CE">
        <w:rPr>
          <w:snapToGrid w:val="0"/>
          <w:kern w:val="0"/>
          <w:sz w:val="24"/>
          <w:szCs w:val="24"/>
        </w:rPr>
        <w:t>Tuy T, Peacock WF. Fluid overload assessment and management in heart failure patients. Semin Nephrol 2012;</w:t>
      </w:r>
      <w:r w:rsidRPr="000413CE">
        <w:rPr>
          <w:rFonts w:eastAsiaTheme="minorEastAsia"/>
          <w:snapToGrid w:val="0"/>
          <w:kern w:val="0"/>
          <w:sz w:val="24"/>
          <w:szCs w:val="24"/>
        </w:rPr>
        <w:t xml:space="preserve"> </w:t>
      </w:r>
      <w:r w:rsidRPr="000413CE">
        <w:rPr>
          <w:snapToGrid w:val="0"/>
          <w:kern w:val="0"/>
          <w:sz w:val="24"/>
          <w:szCs w:val="24"/>
        </w:rPr>
        <w:t>32:</w:t>
      </w:r>
      <w:r w:rsidRPr="000413CE">
        <w:rPr>
          <w:rFonts w:eastAsiaTheme="minorEastAsia"/>
          <w:snapToGrid w:val="0"/>
          <w:kern w:val="0"/>
          <w:sz w:val="24"/>
          <w:szCs w:val="24"/>
        </w:rPr>
        <w:t xml:space="preserve"> </w:t>
      </w:r>
      <w:r w:rsidRPr="000413CE">
        <w:rPr>
          <w:snapToGrid w:val="0"/>
          <w:kern w:val="0"/>
          <w:sz w:val="24"/>
          <w:szCs w:val="24"/>
        </w:rPr>
        <w:t>112-120.</w:t>
      </w:r>
    </w:p>
    <w:p w14:paraId="067AB1A5" w14:textId="13F2088E" w:rsidR="003958AF" w:rsidRPr="000413CE" w:rsidRDefault="00FB14A1" w:rsidP="00FB14A1">
      <w:pPr>
        <w:autoSpaceDE w:val="0"/>
        <w:autoSpaceDN w:val="0"/>
        <w:adjustRightInd w:val="0"/>
        <w:spacing w:after="0" w:line="240" w:lineRule="auto"/>
        <w:rPr>
          <w:rFonts w:ascii="AdvTT6120e2aa" w:hAnsi="AdvTT6120e2aa" w:cs="AdvTT6120e2aa"/>
          <w:sz w:val="24"/>
          <w:szCs w:val="24"/>
          <w:lang w:val="en-US"/>
        </w:rPr>
      </w:pPr>
      <w:r w:rsidRPr="000413CE">
        <w:rPr>
          <w:rFonts w:ascii="AdvTT6120e2aa" w:hAnsi="AdvTT6120e2aa" w:cs="AdvTT6120e2aa"/>
          <w:sz w:val="24"/>
          <w:szCs w:val="24"/>
          <w:lang w:val="en-US"/>
        </w:rPr>
        <w:t>[9]</w:t>
      </w:r>
      <w:r w:rsidR="003C5902" w:rsidRPr="000413CE">
        <w:rPr>
          <w:rFonts w:ascii="AdvTT6120e2aa" w:hAnsi="AdvTT6120e2aa" w:cs="AdvTT6120e2aa"/>
          <w:sz w:val="24"/>
          <w:szCs w:val="24"/>
          <w:lang w:val="en-US"/>
        </w:rPr>
        <w:t xml:space="preserve"> </w:t>
      </w:r>
      <w:r w:rsidR="003958AF" w:rsidRPr="000413CE">
        <w:rPr>
          <w:rFonts w:ascii="AdvTT6120e2aa" w:hAnsi="AdvTT6120e2aa" w:cs="AdvTT6120e2aa"/>
          <w:sz w:val="24"/>
          <w:szCs w:val="24"/>
          <w:lang w:val="en-US"/>
        </w:rPr>
        <w:t xml:space="preserve">Waagstein F, Hjalmarson A, Varnauskas E, Wallentin I. Effect </w:t>
      </w:r>
      <w:r w:rsidR="000413CE" w:rsidRPr="000413CE">
        <w:rPr>
          <w:rFonts w:ascii="AdvTT6120e2aa" w:hAnsi="AdvTT6120e2aa" w:cs="AdvTT6120e2aa"/>
          <w:sz w:val="24"/>
          <w:szCs w:val="24"/>
          <w:lang w:val="en-US"/>
        </w:rPr>
        <w:t>of chronic</w:t>
      </w:r>
      <w:r w:rsidR="003958AF" w:rsidRPr="000413CE">
        <w:rPr>
          <w:rFonts w:ascii="AdvTT6120e2aa" w:hAnsi="AdvTT6120e2aa" w:cs="AdvTT6120e2aa"/>
          <w:sz w:val="24"/>
          <w:szCs w:val="24"/>
          <w:lang w:val="en-US"/>
        </w:rPr>
        <w:t xml:space="preserve"> beta-adrenergic receptor blockade congestive </w:t>
      </w:r>
      <w:r w:rsidR="000413CE" w:rsidRPr="000413CE">
        <w:rPr>
          <w:rFonts w:ascii="AdvTT6120e2aa" w:hAnsi="AdvTT6120e2aa" w:cs="AdvTT6120e2aa"/>
          <w:sz w:val="24"/>
          <w:szCs w:val="24"/>
          <w:lang w:val="en-US"/>
        </w:rPr>
        <w:t>cardiomyopathy. Br</w:t>
      </w:r>
      <w:r w:rsidR="003958AF" w:rsidRPr="000413CE">
        <w:rPr>
          <w:rFonts w:ascii="AdvTT6120e2aa" w:hAnsi="AdvTT6120e2aa" w:cs="AdvTT6120e2aa"/>
          <w:sz w:val="24"/>
          <w:szCs w:val="24"/>
          <w:lang w:val="en-US"/>
        </w:rPr>
        <w:t xml:space="preserve"> Heart J </w:t>
      </w:r>
      <w:r w:rsidR="000413CE" w:rsidRPr="000413CE">
        <w:rPr>
          <w:rFonts w:ascii="AdvTT6120e2aa" w:hAnsi="AdvTT6120e2aa" w:cs="AdvTT6120e2aa"/>
          <w:sz w:val="24"/>
          <w:szCs w:val="24"/>
          <w:lang w:val="en-US"/>
        </w:rPr>
        <w:t>1975; 37:1022</w:t>
      </w:r>
      <w:r w:rsidR="003958AF" w:rsidRPr="000413CE">
        <w:rPr>
          <w:rFonts w:ascii="AdvTT6120e2aa+20" w:hAnsi="AdvTT6120e2aa+20" w:cs="AdvTT6120e2aa+20"/>
          <w:sz w:val="24"/>
          <w:szCs w:val="24"/>
          <w:lang w:val="en-US"/>
        </w:rPr>
        <w:t>–</w:t>
      </w:r>
      <w:r w:rsidR="003958AF" w:rsidRPr="000413CE">
        <w:rPr>
          <w:rFonts w:ascii="AdvTT6120e2aa" w:hAnsi="AdvTT6120e2aa" w:cs="AdvTT6120e2aa"/>
          <w:sz w:val="24"/>
          <w:szCs w:val="24"/>
          <w:lang w:val="en-US"/>
        </w:rPr>
        <w:t>36</w:t>
      </w:r>
    </w:p>
    <w:p w14:paraId="473EE276" w14:textId="77777777" w:rsidR="000413CE" w:rsidRPr="000413CE" w:rsidRDefault="000413CE" w:rsidP="00FB14A1">
      <w:pPr>
        <w:autoSpaceDE w:val="0"/>
        <w:autoSpaceDN w:val="0"/>
        <w:adjustRightInd w:val="0"/>
        <w:spacing w:after="0" w:line="240" w:lineRule="auto"/>
        <w:rPr>
          <w:snapToGrid w:val="0"/>
          <w:sz w:val="24"/>
          <w:szCs w:val="24"/>
          <w:lang w:val="en-US"/>
        </w:rPr>
      </w:pPr>
    </w:p>
    <w:p w14:paraId="47FDA0F3" w14:textId="1566324C" w:rsidR="003958AF" w:rsidRPr="000413CE" w:rsidRDefault="003C5902" w:rsidP="003C5902">
      <w:pPr>
        <w:autoSpaceDE w:val="0"/>
        <w:autoSpaceDN w:val="0"/>
        <w:adjustRightInd w:val="0"/>
        <w:spacing w:after="0" w:line="240" w:lineRule="auto"/>
        <w:rPr>
          <w:snapToGrid w:val="0"/>
          <w:sz w:val="24"/>
          <w:szCs w:val="24"/>
          <w:lang w:val="en-US"/>
        </w:rPr>
      </w:pPr>
      <w:r w:rsidRPr="000413CE">
        <w:rPr>
          <w:rFonts w:ascii="AdvTT6120e2aa" w:hAnsi="AdvTT6120e2aa" w:cs="AdvTT6120e2aa"/>
          <w:sz w:val="24"/>
          <w:szCs w:val="24"/>
          <w:lang w:val="en-US"/>
        </w:rPr>
        <w:t xml:space="preserve">[10] </w:t>
      </w:r>
      <w:r w:rsidR="00FB14A1" w:rsidRPr="000413CE">
        <w:rPr>
          <w:rFonts w:ascii="AdvTT6120e2aa" w:hAnsi="AdvTT6120e2aa" w:cs="AdvTT6120e2aa"/>
          <w:sz w:val="24"/>
          <w:szCs w:val="24"/>
          <w:lang w:val="en-US"/>
        </w:rPr>
        <w:t xml:space="preserve">Fonarow GC, Abraham WT, Albert NM, et al. Influence of </w:t>
      </w:r>
      <w:r w:rsidR="000413CE" w:rsidRPr="000413CE">
        <w:rPr>
          <w:rFonts w:ascii="AdvTT6120e2aa" w:hAnsi="AdvTT6120e2aa" w:cs="AdvTT6120e2aa"/>
          <w:sz w:val="24"/>
          <w:szCs w:val="24"/>
          <w:lang w:val="en-US"/>
        </w:rPr>
        <w:t>betablocker continuation</w:t>
      </w:r>
      <w:r w:rsidR="00FB14A1" w:rsidRPr="000413CE">
        <w:rPr>
          <w:rFonts w:ascii="AdvTT6120e2aa" w:hAnsi="AdvTT6120e2aa" w:cs="AdvTT6120e2aa"/>
          <w:sz w:val="24"/>
          <w:szCs w:val="24"/>
          <w:lang w:val="en-US"/>
        </w:rPr>
        <w:t xml:space="preserve"> or withdrawal on outcomes in patients </w:t>
      </w:r>
      <w:r w:rsidR="000413CE" w:rsidRPr="000413CE">
        <w:rPr>
          <w:rFonts w:ascii="AdvTT6120e2aa" w:hAnsi="AdvTT6120e2aa" w:cs="AdvTT6120e2aa"/>
          <w:sz w:val="24"/>
          <w:szCs w:val="24"/>
          <w:lang w:val="en-US"/>
        </w:rPr>
        <w:t>hospitalized with</w:t>
      </w:r>
      <w:r w:rsidR="00FB14A1" w:rsidRPr="000413CE">
        <w:rPr>
          <w:rFonts w:ascii="AdvTT6120e2aa" w:hAnsi="AdvTT6120e2aa" w:cs="AdvTT6120e2aa"/>
          <w:sz w:val="24"/>
          <w:szCs w:val="24"/>
          <w:lang w:val="en-US"/>
        </w:rPr>
        <w:t xml:space="preserve"> heart failure. Findings from the OPTIMIZED-HF </w:t>
      </w:r>
      <w:r w:rsidR="000413CE" w:rsidRPr="000413CE">
        <w:rPr>
          <w:rFonts w:ascii="AdvTT6120e2aa" w:hAnsi="AdvTT6120e2aa" w:cs="AdvTT6120e2aa"/>
          <w:sz w:val="24"/>
          <w:szCs w:val="24"/>
          <w:lang w:val="en-US"/>
        </w:rPr>
        <w:t>program</w:t>
      </w:r>
      <w:r w:rsidR="00FB14A1" w:rsidRPr="000413CE">
        <w:rPr>
          <w:rFonts w:ascii="AdvTT6120e2aa" w:hAnsi="AdvTT6120e2aa" w:cs="AdvTT6120e2aa"/>
          <w:sz w:val="24"/>
          <w:szCs w:val="24"/>
          <w:lang w:val="en-US"/>
        </w:rPr>
        <w:t xml:space="preserve"> Am Coll Cardiol </w:t>
      </w:r>
      <w:r w:rsidR="000413CE" w:rsidRPr="000413CE">
        <w:rPr>
          <w:rFonts w:ascii="AdvTT6120e2aa" w:hAnsi="AdvTT6120e2aa" w:cs="AdvTT6120e2aa"/>
          <w:sz w:val="24"/>
          <w:szCs w:val="24"/>
          <w:lang w:val="en-US"/>
        </w:rPr>
        <w:t>2008; 52:190</w:t>
      </w:r>
      <w:r w:rsidR="00FB14A1" w:rsidRPr="000413CE">
        <w:rPr>
          <w:rFonts w:ascii="AdvTT6120e2aa+20" w:hAnsi="AdvTT6120e2aa+20" w:cs="AdvTT6120e2aa+20"/>
          <w:sz w:val="24"/>
          <w:szCs w:val="24"/>
          <w:lang w:val="en-US"/>
        </w:rPr>
        <w:t>–</w:t>
      </w:r>
      <w:r w:rsidR="00FB14A1" w:rsidRPr="000413CE">
        <w:rPr>
          <w:rFonts w:ascii="AdvTT6120e2aa" w:hAnsi="AdvTT6120e2aa" w:cs="AdvTT6120e2aa"/>
          <w:sz w:val="24"/>
          <w:szCs w:val="24"/>
          <w:lang w:val="en-US"/>
        </w:rPr>
        <w:t>9.</w:t>
      </w:r>
    </w:p>
    <w:p w14:paraId="556AB7D2" w14:textId="77777777" w:rsidR="00984553" w:rsidRPr="000413CE" w:rsidRDefault="00984553" w:rsidP="00051790">
      <w:pPr>
        <w:autoSpaceDE w:val="0"/>
        <w:autoSpaceDN w:val="0"/>
        <w:adjustRightInd w:val="0"/>
        <w:spacing w:after="0" w:line="240" w:lineRule="auto"/>
        <w:rPr>
          <w:rFonts w:ascii="AdvTT6120e2aa" w:hAnsi="AdvTT6120e2aa" w:cs="AdvTT6120e2aa"/>
          <w:sz w:val="24"/>
          <w:szCs w:val="24"/>
          <w:lang w:val="en-US"/>
        </w:rPr>
      </w:pPr>
    </w:p>
    <w:p w14:paraId="524D1D51" w14:textId="7D5143AF" w:rsidR="00051790" w:rsidRPr="000413CE" w:rsidRDefault="00051790" w:rsidP="000413CE">
      <w:pPr>
        <w:autoSpaceDE w:val="0"/>
        <w:autoSpaceDN w:val="0"/>
        <w:adjustRightInd w:val="0"/>
        <w:spacing w:after="0" w:line="240" w:lineRule="auto"/>
        <w:rPr>
          <w:rFonts w:ascii="AdvTT6120e2aa" w:hAnsi="AdvTT6120e2aa" w:cs="AdvTT6120e2aa"/>
          <w:sz w:val="24"/>
          <w:szCs w:val="24"/>
          <w:lang w:val="en-US"/>
        </w:rPr>
      </w:pPr>
      <w:r w:rsidRPr="000413CE">
        <w:rPr>
          <w:rFonts w:ascii="AdvTT6120e2aa" w:hAnsi="AdvTT6120e2aa" w:cs="AdvTT6120e2aa"/>
          <w:sz w:val="24"/>
          <w:szCs w:val="24"/>
          <w:lang w:val="en-US"/>
        </w:rPr>
        <w:t>propensity score and instrumental variable analysis using the Acutely</w:t>
      </w:r>
      <w:r w:rsidR="000413CE" w:rsidRPr="000413CE">
        <w:rPr>
          <w:rFonts w:ascii="AdvTT6120e2aa" w:hAnsi="AdvTT6120e2aa" w:cs="AdvTT6120e2aa"/>
          <w:sz w:val="24"/>
          <w:szCs w:val="24"/>
          <w:lang w:val="en-US"/>
        </w:rPr>
        <w:t xml:space="preserve"> </w:t>
      </w:r>
      <w:r w:rsidRPr="000413CE">
        <w:rPr>
          <w:rFonts w:ascii="AdvTT6120e2aa" w:hAnsi="AdvTT6120e2aa" w:cs="AdvTT6120e2aa"/>
          <w:sz w:val="24"/>
          <w:szCs w:val="24"/>
          <w:lang w:val="en-US"/>
        </w:rPr>
        <w:t xml:space="preserve">Decompensated Heart Failure National Registry (ADHERE) </w:t>
      </w:r>
      <w:r w:rsidR="000413CE" w:rsidRPr="000413CE">
        <w:rPr>
          <w:rFonts w:ascii="AdvTT6120e2aa" w:hAnsi="AdvTT6120e2aa" w:cs="AdvTT6120e2aa"/>
          <w:sz w:val="24"/>
          <w:szCs w:val="24"/>
          <w:lang w:val="en-US"/>
        </w:rPr>
        <w:t>database. Am</w:t>
      </w:r>
      <w:r w:rsidRPr="000413CE">
        <w:rPr>
          <w:rFonts w:ascii="AdvTT6120e2aa" w:hAnsi="AdvTT6120e2aa" w:cs="AdvTT6120e2aa"/>
          <w:sz w:val="24"/>
          <w:szCs w:val="24"/>
          <w:lang w:val="en-US"/>
        </w:rPr>
        <w:t xml:space="preserve"> Heart J </w:t>
      </w:r>
      <w:r w:rsidR="000413CE" w:rsidRPr="000413CE">
        <w:rPr>
          <w:rFonts w:ascii="AdvTT6120e2aa" w:hAnsi="AdvTT6120e2aa" w:cs="AdvTT6120e2aa"/>
          <w:sz w:val="24"/>
          <w:szCs w:val="24"/>
          <w:lang w:val="en-US"/>
        </w:rPr>
        <w:t>2007; 154:267</w:t>
      </w:r>
      <w:r w:rsidRPr="000413CE">
        <w:rPr>
          <w:rFonts w:ascii="AdvTT6120e2aa+20" w:hAnsi="AdvTT6120e2aa+20" w:cs="AdvTT6120e2aa+20"/>
          <w:sz w:val="24"/>
          <w:szCs w:val="24"/>
          <w:lang w:val="en-US"/>
        </w:rPr>
        <w:t>–</w:t>
      </w:r>
      <w:r w:rsidRPr="000413CE">
        <w:rPr>
          <w:rFonts w:ascii="AdvTT6120e2aa" w:hAnsi="AdvTT6120e2aa" w:cs="AdvTT6120e2aa"/>
          <w:sz w:val="24"/>
          <w:szCs w:val="24"/>
          <w:lang w:val="en-US"/>
        </w:rPr>
        <w:t>77.</w:t>
      </w:r>
    </w:p>
    <w:p w14:paraId="2301D391" w14:textId="77777777" w:rsidR="000413CE" w:rsidRPr="000413CE" w:rsidRDefault="000413CE" w:rsidP="000413CE">
      <w:pPr>
        <w:autoSpaceDE w:val="0"/>
        <w:autoSpaceDN w:val="0"/>
        <w:adjustRightInd w:val="0"/>
        <w:spacing w:after="0" w:line="240" w:lineRule="auto"/>
        <w:rPr>
          <w:snapToGrid w:val="0"/>
          <w:sz w:val="24"/>
          <w:szCs w:val="24"/>
          <w:lang w:val="en-US"/>
        </w:rPr>
      </w:pPr>
    </w:p>
    <w:p w14:paraId="37DE6B0F" w14:textId="4E2BCC46" w:rsidR="00051790" w:rsidRPr="000413CE" w:rsidRDefault="00051790" w:rsidP="00051790">
      <w:pPr>
        <w:pStyle w:val="34-SciencePG-References-content"/>
        <w:numPr>
          <w:ilvl w:val="0"/>
          <w:numId w:val="0"/>
        </w:numPr>
        <w:rPr>
          <w:snapToGrid w:val="0"/>
          <w:kern w:val="0"/>
          <w:sz w:val="24"/>
          <w:szCs w:val="24"/>
        </w:rPr>
      </w:pPr>
      <w:r w:rsidRPr="000413CE">
        <w:rPr>
          <w:snapToGrid w:val="0"/>
          <w:kern w:val="0"/>
          <w:sz w:val="24"/>
          <w:szCs w:val="24"/>
        </w:rPr>
        <w:t xml:space="preserve">[4] </w:t>
      </w:r>
      <w:r w:rsidRPr="000413CE">
        <w:rPr>
          <w:snapToGrid w:val="0"/>
          <w:kern w:val="0"/>
          <w:sz w:val="24"/>
          <w:szCs w:val="24"/>
        </w:rPr>
        <w:t>Solomon SD, Dobson J, Pocock S, Skali H, McMurray JJ, Granger CB et al. Candesartan in Heart failure: Assessment of Reduction in Mortality and morbidity (CHARM) Investigators. Influence of nonfatal hospitalization for heart failure on subsequent mortality in patients with chronic heart failure. Circ 2007;</w:t>
      </w:r>
      <w:r w:rsidRPr="000413CE">
        <w:rPr>
          <w:rFonts w:eastAsiaTheme="minorEastAsia"/>
          <w:snapToGrid w:val="0"/>
          <w:kern w:val="0"/>
          <w:sz w:val="24"/>
          <w:szCs w:val="24"/>
        </w:rPr>
        <w:t xml:space="preserve"> </w:t>
      </w:r>
      <w:r w:rsidRPr="000413CE">
        <w:rPr>
          <w:snapToGrid w:val="0"/>
          <w:kern w:val="0"/>
          <w:sz w:val="24"/>
          <w:szCs w:val="24"/>
        </w:rPr>
        <w:t>116:</w:t>
      </w:r>
      <w:r w:rsidRPr="000413CE">
        <w:rPr>
          <w:rFonts w:eastAsiaTheme="minorEastAsia"/>
          <w:snapToGrid w:val="0"/>
          <w:kern w:val="0"/>
          <w:sz w:val="24"/>
          <w:szCs w:val="24"/>
        </w:rPr>
        <w:t xml:space="preserve"> </w:t>
      </w:r>
      <w:r w:rsidRPr="000413CE">
        <w:rPr>
          <w:snapToGrid w:val="0"/>
          <w:kern w:val="0"/>
          <w:sz w:val="24"/>
          <w:szCs w:val="24"/>
        </w:rPr>
        <w:t>1482-1487.</w:t>
      </w:r>
    </w:p>
    <w:p w14:paraId="6C4320BC" w14:textId="77777777" w:rsidR="00ED71E1" w:rsidRPr="000413CE" w:rsidRDefault="00ED71E1" w:rsidP="00ED71E1">
      <w:pPr>
        <w:autoSpaceDE w:val="0"/>
        <w:autoSpaceDN w:val="0"/>
        <w:adjustRightInd w:val="0"/>
        <w:spacing w:after="0" w:line="240" w:lineRule="auto"/>
        <w:jc w:val="both"/>
        <w:rPr>
          <w:rFonts w:ascii="Times New Roman" w:hAnsi="Times New Roman" w:cs="Times New Roman"/>
          <w:sz w:val="24"/>
          <w:szCs w:val="24"/>
          <w:lang w:val="en-US"/>
        </w:rPr>
      </w:pPr>
    </w:p>
    <w:p w14:paraId="52D8152E" w14:textId="5ADD4EE3" w:rsidR="00425F9E" w:rsidRPr="000413CE" w:rsidRDefault="00425F9E" w:rsidP="00ED71E1">
      <w:pPr>
        <w:autoSpaceDE w:val="0"/>
        <w:autoSpaceDN w:val="0"/>
        <w:adjustRightInd w:val="0"/>
        <w:spacing w:after="0" w:line="240" w:lineRule="auto"/>
        <w:jc w:val="both"/>
        <w:rPr>
          <w:rFonts w:ascii="Times New Roman" w:hAnsi="Times New Roman" w:cs="Times New Roman"/>
          <w:sz w:val="24"/>
          <w:szCs w:val="24"/>
          <w:lang w:val="en-US"/>
        </w:rPr>
      </w:pPr>
      <w:r w:rsidRPr="000413CE">
        <w:rPr>
          <w:rFonts w:ascii="Times New Roman" w:hAnsi="Times New Roman" w:cs="Times New Roman"/>
          <w:sz w:val="24"/>
          <w:szCs w:val="24"/>
          <w:lang w:val="en-US"/>
        </w:rPr>
        <w:t>[</w:t>
      </w:r>
      <w:r w:rsidR="009C7D81" w:rsidRPr="000413CE">
        <w:rPr>
          <w:rFonts w:ascii="Times New Roman" w:hAnsi="Times New Roman" w:cs="Times New Roman"/>
          <w:sz w:val="24"/>
          <w:szCs w:val="24"/>
          <w:lang w:val="en-US"/>
        </w:rPr>
        <w:t>8</w:t>
      </w:r>
      <w:r w:rsidRPr="000413CE">
        <w:rPr>
          <w:rFonts w:ascii="Times New Roman" w:hAnsi="Times New Roman" w:cs="Times New Roman"/>
          <w:sz w:val="24"/>
          <w:szCs w:val="24"/>
          <w:lang w:val="en-US"/>
        </w:rPr>
        <w:t xml:space="preserve">] Nieminen MS, Bohm M, Cowie MR, et al. Executive summary of the guidelines on the diagnosis and treatment of acute heart failure: The Task Force on Acute Heart Failure of the European Society Cardiology. Eur Heart J </w:t>
      </w:r>
      <w:r w:rsidR="00A970C5" w:rsidRPr="000413CE">
        <w:rPr>
          <w:rFonts w:ascii="Times New Roman" w:hAnsi="Times New Roman" w:cs="Times New Roman"/>
          <w:sz w:val="24"/>
          <w:szCs w:val="24"/>
          <w:lang w:val="en-US"/>
        </w:rPr>
        <w:t>2005; 26:384</w:t>
      </w:r>
      <w:r w:rsidRPr="000413CE">
        <w:rPr>
          <w:rFonts w:ascii="Times New Roman" w:hAnsi="Times New Roman" w:cs="Times New Roman"/>
          <w:sz w:val="24"/>
          <w:szCs w:val="24"/>
          <w:lang w:val="en-US"/>
        </w:rPr>
        <w:t>–416.</w:t>
      </w:r>
    </w:p>
    <w:p w14:paraId="42EE84CA" w14:textId="77777777" w:rsidR="009C7D81" w:rsidRPr="000413CE" w:rsidRDefault="009C7D81" w:rsidP="00ED71E1">
      <w:pPr>
        <w:autoSpaceDE w:val="0"/>
        <w:autoSpaceDN w:val="0"/>
        <w:adjustRightInd w:val="0"/>
        <w:spacing w:after="0" w:line="240" w:lineRule="auto"/>
        <w:jc w:val="both"/>
        <w:rPr>
          <w:rFonts w:ascii="Times New Roman" w:hAnsi="Times New Roman" w:cs="Times New Roman"/>
          <w:sz w:val="24"/>
          <w:szCs w:val="24"/>
          <w:lang w:val="en-US"/>
        </w:rPr>
      </w:pPr>
    </w:p>
    <w:p w14:paraId="433A1689" w14:textId="5DC1769E" w:rsidR="00425F9E" w:rsidRPr="000413CE" w:rsidRDefault="00425F9E" w:rsidP="00ED71E1">
      <w:pPr>
        <w:autoSpaceDE w:val="0"/>
        <w:autoSpaceDN w:val="0"/>
        <w:adjustRightInd w:val="0"/>
        <w:spacing w:after="0" w:line="240" w:lineRule="auto"/>
        <w:jc w:val="both"/>
        <w:rPr>
          <w:rFonts w:ascii="Times New Roman" w:hAnsi="Times New Roman" w:cs="Times New Roman"/>
          <w:sz w:val="24"/>
          <w:szCs w:val="24"/>
          <w:lang w:val="en-US"/>
        </w:rPr>
      </w:pPr>
      <w:r w:rsidRPr="000413CE">
        <w:rPr>
          <w:rFonts w:ascii="Times New Roman" w:hAnsi="Times New Roman" w:cs="Times New Roman"/>
          <w:sz w:val="24"/>
          <w:szCs w:val="24"/>
          <w:lang w:val="en-US"/>
        </w:rPr>
        <w:t>[</w:t>
      </w:r>
      <w:r w:rsidR="009C7D81" w:rsidRPr="000413CE">
        <w:rPr>
          <w:rFonts w:ascii="Times New Roman" w:hAnsi="Times New Roman" w:cs="Times New Roman"/>
          <w:sz w:val="24"/>
          <w:szCs w:val="24"/>
          <w:lang w:val="en-US"/>
        </w:rPr>
        <w:t>9</w:t>
      </w:r>
      <w:r w:rsidRPr="000413CE">
        <w:rPr>
          <w:rFonts w:ascii="Times New Roman" w:hAnsi="Times New Roman" w:cs="Times New Roman"/>
          <w:sz w:val="24"/>
          <w:szCs w:val="24"/>
          <w:lang w:val="en-US"/>
        </w:rPr>
        <w:t xml:space="preserve">] Waagstein F, Hjalmarson A, Varnauskas E, Wallentin I. Effect </w:t>
      </w:r>
      <w:r w:rsidR="00A970C5" w:rsidRPr="000413CE">
        <w:rPr>
          <w:rFonts w:ascii="Times New Roman" w:hAnsi="Times New Roman" w:cs="Times New Roman"/>
          <w:sz w:val="24"/>
          <w:szCs w:val="24"/>
          <w:lang w:val="en-US"/>
        </w:rPr>
        <w:t>of chronic</w:t>
      </w:r>
      <w:r w:rsidRPr="000413CE">
        <w:rPr>
          <w:rFonts w:ascii="Times New Roman" w:hAnsi="Times New Roman" w:cs="Times New Roman"/>
          <w:sz w:val="24"/>
          <w:szCs w:val="24"/>
          <w:lang w:val="en-US"/>
        </w:rPr>
        <w:t xml:space="preserve"> beta-adrenergic receptor blockade congestive </w:t>
      </w:r>
      <w:r w:rsidR="00A970C5" w:rsidRPr="000413CE">
        <w:rPr>
          <w:rFonts w:ascii="Times New Roman" w:hAnsi="Times New Roman" w:cs="Times New Roman"/>
          <w:sz w:val="24"/>
          <w:szCs w:val="24"/>
          <w:lang w:val="en-US"/>
        </w:rPr>
        <w:t>cardiomyopathy. Br</w:t>
      </w:r>
      <w:r w:rsidRPr="000413CE">
        <w:rPr>
          <w:rFonts w:ascii="Times New Roman" w:hAnsi="Times New Roman" w:cs="Times New Roman"/>
          <w:sz w:val="24"/>
          <w:szCs w:val="24"/>
          <w:lang w:val="en-US"/>
        </w:rPr>
        <w:t xml:space="preserve"> Heart J </w:t>
      </w:r>
      <w:r w:rsidR="00A970C5" w:rsidRPr="000413CE">
        <w:rPr>
          <w:rFonts w:ascii="Times New Roman" w:hAnsi="Times New Roman" w:cs="Times New Roman"/>
          <w:sz w:val="24"/>
          <w:szCs w:val="24"/>
          <w:lang w:val="en-US"/>
        </w:rPr>
        <w:t>1975; 37:1022</w:t>
      </w:r>
      <w:r w:rsidRPr="000413CE">
        <w:rPr>
          <w:rFonts w:ascii="Times New Roman" w:hAnsi="Times New Roman" w:cs="Times New Roman"/>
          <w:sz w:val="24"/>
          <w:szCs w:val="24"/>
          <w:lang w:val="en-US"/>
        </w:rPr>
        <w:t>–36.</w:t>
      </w:r>
    </w:p>
    <w:p w14:paraId="2A8079AB" w14:textId="77777777" w:rsidR="00A970C5" w:rsidRPr="000413CE" w:rsidRDefault="00A970C5" w:rsidP="00ED71E1">
      <w:pPr>
        <w:autoSpaceDE w:val="0"/>
        <w:autoSpaceDN w:val="0"/>
        <w:adjustRightInd w:val="0"/>
        <w:spacing w:after="0" w:line="240" w:lineRule="auto"/>
        <w:jc w:val="both"/>
        <w:rPr>
          <w:rFonts w:ascii="Times New Roman" w:hAnsi="Times New Roman" w:cs="Times New Roman"/>
          <w:sz w:val="24"/>
          <w:szCs w:val="24"/>
          <w:lang w:val="en-US"/>
        </w:rPr>
      </w:pPr>
    </w:p>
    <w:p w14:paraId="701025D0" w14:textId="7FDA8C0B" w:rsidR="00425F9E" w:rsidRPr="000413CE" w:rsidRDefault="00425F9E" w:rsidP="00ED71E1">
      <w:pPr>
        <w:autoSpaceDE w:val="0"/>
        <w:autoSpaceDN w:val="0"/>
        <w:adjustRightInd w:val="0"/>
        <w:spacing w:after="0" w:line="240" w:lineRule="auto"/>
        <w:jc w:val="both"/>
        <w:rPr>
          <w:rFonts w:ascii="Times New Roman" w:hAnsi="Times New Roman" w:cs="Times New Roman"/>
          <w:sz w:val="24"/>
          <w:szCs w:val="24"/>
          <w:lang w:val="en-US"/>
        </w:rPr>
      </w:pPr>
      <w:r w:rsidRPr="000413CE">
        <w:rPr>
          <w:rFonts w:ascii="Times New Roman" w:hAnsi="Times New Roman" w:cs="Times New Roman"/>
          <w:sz w:val="24"/>
          <w:szCs w:val="24"/>
          <w:lang w:val="en-US"/>
        </w:rPr>
        <w:t>[</w:t>
      </w:r>
      <w:r w:rsidR="009C7D81" w:rsidRPr="000413CE">
        <w:rPr>
          <w:rFonts w:ascii="Times New Roman" w:hAnsi="Times New Roman" w:cs="Times New Roman"/>
          <w:sz w:val="24"/>
          <w:szCs w:val="24"/>
          <w:lang w:val="en-US"/>
        </w:rPr>
        <w:t>10</w:t>
      </w:r>
      <w:r w:rsidRPr="000413CE">
        <w:rPr>
          <w:rFonts w:ascii="Times New Roman" w:hAnsi="Times New Roman" w:cs="Times New Roman"/>
          <w:sz w:val="24"/>
          <w:szCs w:val="24"/>
          <w:lang w:val="en-US"/>
        </w:rPr>
        <w:t xml:space="preserve">] Fonarow GC, Abraham WT, Albert NM, et al. Influence of </w:t>
      </w:r>
      <w:r w:rsidR="00A970C5" w:rsidRPr="000413CE">
        <w:rPr>
          <w:rFonts w:ascii="Times New Roman" w:hAnsi="Times New Roman" w:cs="Times New Roman"/>
          <w:sz w:val="24"/>
          <w:szCs w:val="24"/>
          <w:lang w:val="en-US"/>
        </w:rPr>
        <w:t>betablocker continuation</w:t>
      </w:r>
      <w:r w:rsidRPr="000413CE">
        <w:rPr>
          <w:rFonts w:ascii="Times New Roman" w:hAnsi="Times New Roman" w:cs="Times New Roman"/>
          <w:sz w:val="24"/>
          <w:szCs w:val="24"/>
          <w:lang w:val="en-US"/>
        </w:rPr>
        <w:t xml:space="preserve"> or withdrawal on outcomes in patients hospitalized</w:t>
      </w:r>
      <w:r w:rsidR="00A970C5" w:rsidRPr="000413CE">
        <w:rPr>
          <w:rFonts w:ascii="Times New Roman" w:hAnsi="Times New Roman" w:cs="Times New Roman"/>
          <w:sz w:val="24"/>
          <w:szCs w:val="24"/>
          <w:lang w:val="en-US"/>
        </w:rPr>
        <w:t xml:space="preserve"> </w:t>
      </w:r>
      <w:r w:rsidRPr="000413CE">
        <w:rPr>
          <w:rFonts w:ascii="Times New Roman" w:hAnsi="Times New Roman" w:cs="Times New Roman"/>
          <w:sz w:val="24"/>
          <w:szCs w:val="24"/>
          <w:lang w:val="en-US"/>
        </w:rPr>
        <w:t xml:space="preserve">with heart failure. Findings from the OPTIMIZED-HF </w:t>
      </w:r>
      <w:r w:rsidR="008F76B8" w:rsidRPr="000413CE">
        <w:rPr>
          <w:rFonts w:ascii="Times New Roman" w:hAnsi="Times New Roman" w:cs="Times New Roman"/>
          <w:sz w:val="24"/>
          <w:szCs w:val="24"/>
          <w:lang w:val="en-US"/>
        </w:rPr>
        <w:t>program. J</w:t>
      </w:r>
      <w:r w:rsidRPr="000413CE">
        <w:rPr>
          <w:rFonts w:ascii="Times New Roman" w:hAnsi="Times New Roman" w:cs="Times New Roman"/>
          <w:sz w:val="24"/>
          <w:szCs w:val="24"/>
          <w:lang w:val="en-US"/>
        </w:rPr>
        <w:t xml:space="preserve"> Am Coll Cardiol </w:t>
      </w:r>
      <w:r w:rsidR="00A970C5" w:rsidRPr="000413CE">
        <w:rPr>
          <w:rFonts w:ascii="Times New Roman" w:hAnsi="Times New Roman" w:cs="Times New Roman"/>
          <w:sz w:val="24"/>
          <w:szCs w:val="24"/>
          <w:lang w:val="en-US"/>
        </w:rPr>
        <w:t>2008; 52:190</w:t>
      </w:r>
      <w:r w:rsidRPr="000413CE">
        <w:rPr>
          <w:rFonts w:ascii="Times New Roman" w:hAnsi="Times New Roman" w:cs="Times New Roman"/>
          <w:sz w:val="24"/>
          <w:szCs w:val="24"/>
          <w:lang w:val="en-US"/>
        </w:rPr>
        <w:t>–9.</w:t>
      </w:r>
    </w:p>
    <w:p w14:paraId="7E3B85A4" w14:textId="77777777" w:rsidR="003C5902" w:rsidRPr="000413CE" w:rsidRDefault="003C5902" w:rsidP="00ED71E1">
      <w:pPr>
        <w:autoSpaceDE w:val="0"/>
        <w:autoSpaceDN w:val="0"/>
        <w:adjustRightInd w:val="0"/>
        <w:spacing w:after="0" w:line="240" w:lineRule="auto"/>
        <w:jc w:val="both"/>
        <w:rPr>
          <w:rFonts w:ascii="Times New Roman" w:hAnsi="Times New Roman" w:cs="Times New Roman"/>
          <w:sz w:val="24"/>
          <w:szCs w:val="24"/>
          <w:lang w:val="en-US"/>
        </w:rPr>
      </w:pPr>
    </w:p>
    <w:p w14:paraId="6ED2D14C" w14:textId="16CBAE31" w:rsidR="003C5902" w:rsidRPr="000413CE" w:rsidRDefault="003C5902" w:rsidP="003C5902">
      <w:pPr>
        <w:pStyle w:val="34-SciencePG-References-content"/>
        <w:numPr>
          <w:ilvl w:val="0"/>
          <w:numId w:val="0"/>
        </w:numPr>
        <w:rPr>
          <w:snapToGrid w:val="0"/>
          <w:kern w:val="0"/>
          <w:sz w:val="24"/>
          <w:szCs w:val="24"/>
        </w:rPr>
      </w:pPr>
      <w:r w:rsidRPr="000413CE">
        <w:rPr>
          <w:snapToGrid w:val="0"/>
          <w:kern w:val="0"/>
          <w:sz w:val="24"/>
          <w:szCs w:val="24"/>
        </w:rPr>
        <w:t>[1</w:t>
      </w:r>
      <w:r w:rsidRPr="000413CE">
        <w:rPr>
          <w:snapToGrid w:val="0"/>
          <w:kern w:val="0"/>
          <w:sz w:val="24"/>
          <w:szCs w:val="24"/>
        </w:rPr>
        <w:t>1</w:t>
      </w:r>
      <w:r w:rsidRPr="000413CE">
        <w:rPr>
          <w:snapToGrid w:val="0"/>
          <w:kern w:val="0"/>
          <w:sz w:val="24"/>
          <w:szCs w:val="24"/>
        </w:rPr>
        <w:t xml:space="preserve"> Khoury AM, Davila DF, Bellabarba G, Donis JH, Torres A, Hernandez L et al. Acute effects of digitalis and enalapril on the neurohormonal profile of </w:t>
      </w:r>
      <w:proofErr w:type="spellStart"/>
      <w:r w:rsidRPr="000413CE">
        <w:rPr>
          <w:snapToGrid w:val="0"/>
          <w:kern w:val="0"/>
          <w:sz w:val="24"/>
          <w:szCs w:val="24"/>
        </w:rPr>
        <w:t>chagasic</w:t>
      </w:r>
      <w:proofErr w:type="spellEnd"/>
      <w:r w:rsidRPr="000413CE">
        <w:rPr>
          <w:snapToGrid w:val="0"/>
          <w:kern w:val="0"/>
          <w:sz w:val="24"/>
          <w:szCs w:val="24"/>
        </w:rPr>
        <w:t xml:space="preserve"> patients with severe c</w:t>
      </w:r>
      <w:r w:rsidRPr="000413CE">
        <w:rPr>
          <w:snapToGrid w:val="0"/>
          <w:kern w:val="0"/>
          <w:sz w:val="24"/>
          <w:szCs w:val="24"/>
        </w:rPr>
        <w:t>2</w:t>
      </w:r>
      <w:r w:rsidRPr="000413CE">
        <w:rPr>
          <w:snapToGrid w:val="0"/>
          <w:kern w:val="0"/>
          <w:sz w:val="24"/>
          <w:szCs w:val="24"/>
        </w:rPr>
        <w:t>ngestive heart failure. Int J Cardiol 1996;</w:t>
      </w:r>
      <w:r w:rsidRPr="000413CE">
        <w:rPr>
          <w:rFonts w:eastAsiaTheme="minorEastAsia"/>
          <w:snapToGrid w:val="0"/>
          <w:kern w:val="0"/>
          <w:sz w:val="24"/>
          <w:szCs w:val="24"/>
        </w:rPr>
        <w:t xml:space="preserve"> </w:t>
      </w:r>
      <w:r w:rsidRPr="000413CE">
        <w:rPr>
          <w:snapToGrid w:val="0"/>
          <w:kern w:val="0"/>
          <w:sz w:val="24"/>
          <w:szCs w:val="24"/>
        </w:rPr>
        <w:t>57:</w:t>
      </w:r>
      <w:r w:rsidRPr="000413CE">
        <w:rPr>
          <w:rFonts w:eastAsiaTheme="minorEastAsia"/>
          <w:snapToGrid w:val="0"/>
          <w:kern w:val="0"/>
          <w:sz w:val="24"/>
          <w:szCs w:val="24"/>
        </w:rPr>
        <w:t xml:space="preserve"> </w:t>
      </w:r>
      <w:r w:rsidRPr="000413CE">
        <w:rPr>
          <w:snapToGrid w:val="0"/>
          <w:kern w:val="0"/>
          <w:sz w:val="24"/>
          <w:szCs w:val="24"/>
        </w:rPr>
        <w:t>21-29.</w:t>
      </w:r>
    </w:p>
    <w:p w14:paraId="28B43DA2" w14:textId="00DB3FAB" w:rsidR="003C5902" w:rsidRPr="000413CE" w:rsidRDefault="003C5902" w:rsidP="003C5902">
      <w:pPr>
        <w:pStyle w:val="34-SciencePG-References-content"/>
        <w:numPr>
          <w:ilvl w:val="0"/>
          <w:numId w:val="0"/>
        </w:numPr>
        <w:rPr>
          <w:snapToGrid w:val="0"/>
          <w:kern w:val="0"/>
          <w:sz w:val="24"/>
          <w:szCs w:val="24"/>
        </w:rPr>
      </w:pPr>
      <w:r w:rsidRPr="000413CE">
        <w:rPr>
          <w:snapToGrid w:val="0"/>
          <w:kern w:val="0"/>
          <w:sz w:val="24"/>
          <w:szCs w:val="24"/>
        </w:rPr>
        <w:t>[1</w:t>
      </w:r>
      <w:r w:rsidRPr="000413CE">
        <w:rPr>
          <w:snapToGrid w:val="0"/>
          <w:kern w:val="0"/>
          <w:sz w:val="24"/>
          <w:szCs w:val="24"/>
        </w:rPr>
        <w:t xml:space="preserve">2] </w:t>
      </w:r>
      <w:r w:rsidRPr="000413CE">
        <w:rPr>
          <w:snapToGrid w:val="0"/>
          <w:kern w:val="0"/>
          <w:sz w:val="24"/>
          <w:szCs w:val="24"/>
        </w:rPr>
        <w:t>Gheorghiade M, Pang PS, Ambrosy AP, Lan G, Schmidt P, Filippatos G, Konstam M et al. A comprehensive, longitudinal description of the in-hospital and post-discharge clinical, laboratory, and neurohormonal course of patients with heart failure who die or are re-hospitalized within 90 days: analysis from the EVEREST trial. Heart Fail Rev 2012;</w:t>
      </w:r>
      <w:r w:rsidRPr="000413CE">
        <w:rPr>
          <w:rFonts w:eastAsiaTheme="minorEastAsia"/>
          <w:snapToGrid w:val="0"/>
          <w:kern w:val="0"/>
          <w:sz w:val="24"/>
          <w:szCs w:val="24"/>
        </w:rPr>
        <w:t xml:space="preserve"> </w:t>
      </w:r>
      <w:r w:rsidRPr="000413CE">
        <w:rPr>
          <w:snapToGrid w:val="0"/>
          <w:kern w:val="0"/>
          <w:sz w:val="24"/>
          <w:szCs w:val="24"/>
        </w:rPr>
        <w:t>17:</w:t>
      </w:r>
      <w:r w:rsidRPr="000413CE">
        <w:rPr>
          <w:rFonts w:eastAsiaTheme="minorEastAsia"/>
          <w:snapToGrid w:val="0"/>
          <w:kern w:val="0"/>
          <w:sz w:val="24"/>
          <w:szCs w:val="24"/>
        </w:rPr>
        <w:t xml:space="preserve"> </w:t>
      </w:r>
      <w:r w:rsidRPr="000413CE">
        <w:rPr>
          <w:snapToGrid w:val="0"/>
          <w:kern w:val="0"/>
          <w:sz w:val="24"/>
          <w:szCs w:val="24"/>
        </w:rPr>
        <w:t>485-509.</w:t>
      </w:r>
    </w:p>
    <w:p w14:paraId="25AD2E6B" w14:textId="762639D1" w:rsidR="003C5902" w:rsidRPr="000413CE" w:rsidRDefault="003C5902" w:rsidP="003C5902">
      <w:pPr>
        <w:pStyle w:val="34-SciencePG-References-content"/>
        <w:numPr>
          <w:ilvl w:val="0"/>
          <w:numId w:val="0"/>
        </w:numPr>
        <w:rPr>
          <w:rFonts w:eastAsiaTheme="minorEastAsia"/>
          <w:snapToGrid w:val="0"/>
          <w:kern w:val="0"/>
          <w:sz w:val="24"/>
          <w:szCs w:val="24"/>
        </w:rPr>
      </w:pPr>
      <w:r w:rsidRPr="000413CE">
        <w:rPr>
          <w:snapToGrid w:val="0"/>
          <w:kern w:val="0"/>
          <w:sz w:val="24"/>
          <w:szCs w:val="24"/>
        </w:rPr>
        <w:t>[1</w:t>
      </w:r>
      <w:r w:rsidRPr="000413CE">
        <w:rPr>
          <w:snapToGrid w:val="0"/>
          <w:kern w:val="0"/>
          <w:sz w:val="24"/>
          <w:szCs w:val="24"/>
        </w:rPr>
        <w:t>3</w:t>
      </w:r>
      <w:r w:rsidRPr="000413CE">
        <w:rPr>
          <w:snapToGrid w:val="0"/>
          <w:kern w:val="0"/>
          <w:sz w:val="24"/>
          <w:szCs w:val="24"/>
        </w:rPr>
        <w:t>] Felker GM, Hasselblad V, Wilson Tang WH et al, Troponin I in acute decompensated heart failure: insights from the ASCEND-HF study.</w:t>
      </w:r>
      <w:r w:rsidRPr="000413CE">
        <w:rPr>
          <w:rFonts w:eastAsia="Arial"/>
          <w:snapToGrid w:val="0"/>
          <w:kern w:val="0"/>
          <w:sz w:val="24"/>
          <w:szCs w:val="24"/>
        </w:rPr>
        <w:t xml:space="preserve"> </w:t>
      </w:r>
      <w:r w:rsidRPr="000413CE">
        <w:rPr>
          <w:snapToGrid w:val="0"/>
          <w:kern w:val="0"/>
          <w:sz w:val="24"/>
          <w:szCs w:val="24"/>
        </w:rPr>
        <w:t>European Journal of Heart Failure 2012; 14: 1257–1264</w:t>
      </w:r>
      <w:r w:rsidRPr="000413CE">
        <w:rPr>
          <w:rFonts w:eastAsiaTheme="minorEastAsia"/>
          <w:snapToGrid w:val="0"/>
          <w:kern w:val="0"/>
          <w:sz w:val="24"/>
          <w:szCs w:val="24"/>
        </w:rPr>
        <w:t>.</w:t>
      </w:r>
    </w:p>
    <w:p w14:paraId="3B2650B9" w14:textId="55EF0332" w:rsidR="004514F8" w:rsidRPr="000413CE" w:rsidRDefault="004514F8" w:rsidP="004514F8">
      <w:pPr>
        <w:pStyle w:val="34-SciencePG-References-content"/>
        <w:numPr>
          <w:ilvl w:val="0"/>
          <w:numId w:val="0"/>
        </w:numPr>
        <w:rPr>
          <w:snapToGrid w:val="0"/>
          <w:kern w:val="0"/>
          <w:sz w:val="24"/>
          <w:szCs w:val="24"/>
        </w:rPr>
      </w:pPr>
      <w:r w:rsidRPr="000413CE">
        <w:rPr>
          <w:snapToGrid w:val="0"/>
          <w:kern w:val="0"/>
          <w:sz w:val="24"/>
          <w:szCs w:val="24"/>
        </w:rPr>
        <w:t xml:space="preserve">[14] </w:t>
      </w:r>
      <w:r w:rsidRPr="000413CE">
        <w:rPr>
          <w:snapToGrid w:val="0"/>
          <w:kern w:val="0"/>
          <w:sz w:val="24"/>
          <w:szCs w:val="24"/>
        </w:rPr>
        <w:t>Peacock WF, Costanzo MR, De Marco T, Lopatin M, Wynne J,</w:t>
      </w:r>
      <w:r w:rsidRPr="000413CE">
        <w:rPr>
          <w:rFonts w:eastAsiaTheme="minorEastAsia"/>
          <w:snapToGrid w:val="0"/>
          <w:kern w:val="0"/>
          <w:sz w:val="24"/>
          <w:szCs w:val="24"/>
        </w:rPr>
        <w:t xml:space="preserve"> </w:t>
      </w:r>
      <w:r w:rsidRPr="000413CE">
        <w:rPr>
          <w:snapToGrid w:val="0"/>
          <w:kern w:val="0"/>
          <w:sz w:val="24"/>
          <w:szCs w:val="24"/>
        </w:rPr>
        <w:t>Mills RM et al. ADHERE Scientific Advisory Committee and Investigators. Impact of intravenous loop diuretics on outcomes of patients hospitalized with acute decompensated heart failure: insights from the ADHERE registry. Cardiology 2009;</w:t>
      </w:r>
      <w:r w:rsidRPr="000413CE">
        <w:rPr>
          <w:rFonts w:eastAsiaTheme="minorEastAsia"/>
          <w:snapToGrid w:val="0"/>
          <w:kern w:val="0"/>
          <w:sz w:val="24"/>
          <w:szCs w:val="24"/>
        </w:rPr>
        <w:t xml:space="preserve"> </w:t>
      </w:r>
      <w:r w:rsidRPr="000413CE">
        <w:rPr>
          <w:snapToGrid w:val="0"/>
          <w:kern w:val="0"/>
          <w:sz w:val="24"/>
          <w:szCs w:val="24"/>
        </w:rPr>
        <w:t>113: 12-19.</w:t>
      </w:r>
    </w:p>
    <w:p w14:paraId="47F3902A" w14:textId="69FA541D" w:rsidR="004514F8" w:rsidRPr="000413CE" w:rsidRDefault="004514F8" w:rsidP="004514F8">
      <w:pPr>
        <w:pStyle w:val="34-SciencePG-References-content"/>
        <w:numPr>
          <w:ilvl w:val="0"/>
          <w:numId w:val="0"/>
        </w:numPr>
        <w:rPr>
          <w:snapToGrid w:val="0"/>
          <w:kern w:val="0"/>
          <w:sz w:val="24"/>
          <w:szCs w:val="24"/>
        </w:rPr>
      </w:pPr>
      <w:r w:rsidRPr="000413CE">
        <w:rPr>
          <w:snapToGrid w:val="0"/>
          <w:kern w:val="0"/>
          <w:sz w:val="24"/>
          <w:szCs w:val="24"/>
          <w:lang w:val="es-VE"/>
        </w:rPr>
        <w:t>[15]</w:t>
      </w:r>
      <w:r w:rsidRPr="000413CE">
        <w:rPr>
          <w:snapToGrid w:val="0"/>
          <w:kern w:val="0"/>
          <w:sz w:val="24"/>
          <w:szCs w:val="24"/>
          <w:lang w:val="es-VE"/>
        </w:rPr>
        <w:t xml:space="preserve">Vaz Pérez A, Otawa K, Zimmermann AV, Stockburger M, MüllerWerdan U et al. </w:t>
      </w:r>
      <w:r w:rsidRPr="000413CE">
        <w:rPr>
          <w:snapToGrid w:val="0"/>
          <w:kern w:val="0"/>
          <w:sz w:val="24"/>
          <w:szCs w:val="24"/>
        </w:rPr>
        <w:t>The impact of impaired renal function on mortality in patients with acutely decompensated chronic heart failure. Eur J Heart Fail. 2010;</w:t>
      </w:r>
      <w:r w:rsidRPr="000413CE">
        <w:rPr>
          <w:rFonts w:eastAsiaTheme="minorEastAsia"/>
          <w:snapToGrid w:val="0"/>
          <w:kern w:val="0"/>
          <w:sz w:val="24"/>
          <w:szCs w:val="24"/>
        </w:rPr>
        <w:t xml:space="preserve"> </w:t>
      </w:r>
      <w:r w:rsidRPr="000413CE">
        <w:rPr>
          <w:snapToGrid w:val="0"/>
          <w:kern w:val="0"/>
          <w:sz w:val="24"/>
          <w:szCs w:val="24"/>
        </w:rPr>
        <w:t>12:</w:t>
      </w:r>
      <w:r w:rsidRPr="000413CE">
        <w:rPr>
          <w:rFonts w:eastAsiaTheme="minorEastAsia"/>
          <w:snapToGrid w:val="0"/>
          <w:kern w:val="0"/>
          <w:sz w:val="24"/>
          <w:szCs w:val="24"/>
        </w:rPr>
        <w:t xml:space="preserve"> </w:t>
      </w:r>
      <w:r w:rsidRPr="000413CE">
        <w:rPr>
          <w:snapToGrid w:val="0"/>
          <w:kern w:val="0"/>
          <w:sz w:val="24"/>
          <w:szCs w:val="24"/>
        </w:rPr>
        <w:t>122-128.</w:t>
      </w:r>
    </w:p>
    <w:p w14:paraId="7ECF08D7" w14:textId="607DC3B5" w:rsidR="004514F8" w:rsidRPr="000413CE" w:rsidRDefault="004514F8" w:rsidP="004514F8">
      <w:pPr>
        <w:pStyle w:val="34-SciencePG-References-content"/>
        <w:numPr>
          <w:ilvl w:val="0"/>
          <w:numId w:val="0"/>
        </w:numPr>
        <w:rPr>
          <w:snapToGrid w:val="0"/>
          <w:spacing w:val="-2"/>
          <w:kern w:val="0"/>
          <w:sz w:val="24"/>
          <w:szCs w:val="24"/>
        </w:rPr>
      </w:pPr>
      <w:r w:rsidRPr="000413CE">
        <w:rPr>
          <w:snapToGrid w:val="0"/>
          <w:spacing w:val="-2"/>
          <w:kern w:val="0"/>
          <w:sz w:val="24"/>
          <w:szCs w:val="24"/>
        </w:rPr>
        <w:t>[</w:t>
      </w:r>
      <w:proofErr w:type="gramStart"/>
      <w:r w:rsidRPr="000413CE">
        <w:rPr>
          <w:snapToGrid w:val="0"/>
          <w:spacing w:val="-2"/>
          <w:kern w:val="0"/>
          <w:sz w:val="24"/>
          <w:szCs w:val="24"/>
        </w:rPr>
        <w:t>16 ]</w:t>
      </w:r>
      <w:proofErr w:type="gramEnd"/>
      <w:r w:rsidRPr="000413CE">
        <w:rPr>
          <w:snapToGrid w:val="0"/>
          <w:spacing w:val="-2"/>
          <w:kern w:val="0"/>
          <w:sz w:val="24"/>
          <w:szCs w:val="24"/>
        </w:rPr>
        <w:t xml:space="preserve"> </w:t>
      </w:r>
      <w:r w:rsidRPr="000413CE">
        <w:rPr>
          <w:snapToGrid w:val="0"/>
          <w:spacing w:val="-2"/>
          <w:kern w:val="0"/>
          <w:sz w:val="24"/>
          <w:szCs w:val="24"/>
        </w:rPr>
        <w:t>Felker GM, Lee KL, Bull DA, Redfield MM, Stevenson LW,</w:t>
      </w:r>
      <w:r w:rsidRPr="000413CE">
        <w:rPr>
          <w:rFonts w:eastAsiaTheme="minorEastAsia"/>
          <w:snapToGrid w:val="0"/>
          <w:spacing w:val="-2"/>
          <w:kern w:val="0"/>
          <w:sz w:val="24"/>
          <w:szCs w:val="24"/>
        </w:rPr>
        <w:t xml:space="preserve"> </w:t>
      </w:r>
      <w:r w:rsidRPr="000413CE">
        <w:rPr>
          <w:snapToGrid w:val="0"/>
          <w:spacing w:val="-2"/>
          <w:kern w:val="0"/>
          <w:sz w:val="24"/>
          <w:szCs w:val="24"/>
        </w:rPr>
        <w:t>Goldsmith SR et al. NHLBI Heart Failure Clinical Research Network. Diuretic strategies in patients with acute decompensated heart failure. N Engl J Med. 2011;</w:t>
      </w:r>
      <w:r w:rsidRPr="000413CE">
        <w:rPr>
          <w:rFonts w:eastAsiaTheme="minorEastAsia"/>
          <w:snapToGrid w:val="0"/>
          <w:spacing w:val="-2"/>
          <w:kern w:val="0"/>
          <w:sz w:val="24"/>
          <w:szCs w:val="24"/>
        </w:rPr>
        <w:t xml:space="preserve"> </w:t>
      </w:r>
      <w:r w:rsidRPr="000413CE">
        <w:rPr>
          <w:snapToGrid w:val="0"/>
          <w:spacing w:val="-2"/>
          <w:kern w:val="0"/>
          <w:sz w:val="24"/>
          <w:szCs w:val="24"/>
        </w:rPr>
        <w:t>364:</w:t>
      </w:r>
      <w:r w:rsidRPr="000413CE">
        <w:rPr>
          <w:rFonts w:eastAsiaTheme="minorEastAsia"/>
          <w:snapToGrid w:val="0"/>
          <w:spacing w:val="-2"/>
          <w:kern w:val="0"/>
          <w:sz w:val="24"/>
          <w:szCs w:val="24"/>
        </w:rPr>
        <w:t xml:space="preserve"> </w:t>
      </w:r>
      <w:r w:rsidRPr="000413CE">
        <w:rPr>
          <w:snapToGrid w:val="0"/>
          <w:spacing w:val="-2"/>
          <w:kern w:val="0"/>
          <w:sz w:val="24"/>
          <w:szCs w:val="24"/>
        </w:rPr>
        <w:t>797-805.</w:t>
      </w:r>
    </w:p>
    <w:p w14:paraId="679319C9" w14:textId="125797F7" w:rsidR="004514F8" w:rsidRPr="000413CE" w:rsidRDefault="004514F8" w:rsidP="004514F8">
      <w:pPr>
        <w:pStyle w:val="34-SciencePG-References-content"/>
        <w:numPr>
          <w:ilvl w:val="0"/>
          <w:numId w:val="0"/>
        </w:numPr>
        <w:rPr>
          <w:snapToGrid w:val="0"/>
          <w:kern w:val="0"/>
          <w:sz w:val="24"/>
          <w:szCs w:val="24"/>
        </w:rPr>
      </w:pPr>
      <w:r w:rsidRPr="000413CE">
        <w:rPr>
          <w:snapToGrid w:val="0"/>
          <w:kern w:val="0"/>
          <w:sz w:val="24"/>
          <w:szCs w:val="24"/>
        </w:rPr>
        <w:t xml:space="preserve">[17] </w:t>
      </w:r>
      <w:r w:rsidRPr="000413CE">
        <w:rPr>
          <w:snapToGrid w:val="0"/>
          <w:kern w:val="0"/>
          <w:sz w:val="24"/>
          <w:szCs w:val="24"/>
        </w:rPr>
        <w:t>Konish M, Haraguchi G, Ohigashi H et al. Progression of</w:t>
      </w:r>
      <w:r w:rsidRPr="000413CE">
        <w:rPr>
          <w:rFonts w:eastAsiaTheme="minorEastAsia"/>
          <w:snapToGrid w:val="0"/>
          <w:kern w:val="0"/>
          <w:sz w:val="24"/>
          <w:szCs w:val="24"/>
        </w:rPr>
        <w:t xml:space="preserve"> </w:t>
      </w:r>
      <w:r w:rsidRPr="000413CE">
        <w:rPr>
          <w:snapToGrid w:val="0"/>
          <w:kern w:val="0"/>
          <w:sz w:val="24"/>
          <w:szCs w:val="24"/>
        </w:rPr>
        <w:t>Hyponatremia is Associated with Increased Cardiac Mortality in Patients Hospitalized for Acute Decompensated Heart Failure. J Cardiac Fail 2012;</w:t>
      </w:r>
      <w:r w:rsidRPr="000413CE">
        <w:rPr>
          <w:rFonts w:eastAsiaTheme="minorEastAsia"/>
          <w:snapToGrid w:val="0"/>
          <w:kern w:val="0"/>
          <w:sz w:val="24"/>
          <w:szCs w:val="24"/>
        </w:rPr>
        <w:t xml:space="preserve"> </w:t>
      </w:r>
      <w:r w:rsidRPr="000413CE">
        <w:rPr>
          <w:snapToGrid w:val="0"/>
          <w:kern w:val="0"/>
          <w:sz w:val="24"/>
          <w:szCs w:val="24"/>
        </w:rPr>
        <w:t>18:</w:t>
      </w:r>
      <w:r w:rsidRPr="000413CE">
        <w:rPr>
          <w:rFonts w:eastAsiaTheme="minorEastAsia"/>
          <w:snapToGrid w:val="0"/>
          <w:kern w:val="0"/>
          <w:sz w:val="24"/>
          <w:szCs w:val="24"/>
        </w:rPr>
        <w:t xml:space="preserve"> </w:t>
      </w:r>
      <w:r w:rsidRPr="000413CE">
        <w:rPr>
          <w:snapToGrid w:val="0"/>
          <w:kern w:val="0"/>
          <w:sz w:val="24"/>
          <w:szCs w:val="24"/>
        </w:rPr>
        <w:t>620-625.</w:t>
      </w:r>
    </w:p>
    <w:p w14:paraId="28B0B064" w14:textId="3A7E4580" w:rsidR="003417D8" w:rsidRPr="000413CE" w:rsidRDefault="003417D8" w:rsidP="003417D8">
      <w:pPr>
        <w:pStyle w:val="34-SciencePG-References-content"/>
        <w:numPr>
          <w:ilvl w:val="0"/>
          <w:numId w:val="0"/>
        </w:numPr>
        <w:ind w:left="420" w:hanging="420"/>
        <w:rPr>
          <w:snapToGrid w:val="0"/>
          <w:kern w:val="0"/>
          <w:sz w:val="24"/>
          <w:szCs w:val="24"/>
        </w:rPr>
      </w:pPr>
      <w:r w:rsidRPr="000413CE">
        <w:rPr>
          <w:snapToGrid w:val="0"/>
          <w:kern w:val="0"/>
          <w:sz w:val="24"/>
          <w:szCs w:val="24"/>
        </w:rPr>
        <w:t xml:space="preserve">[18] </w:t>
      </w:r>
      <w:r w:rsidRPr="000413CE">
        <w:rPr>
          <w:snapToGrid w:val="0"/>
          <w:kern w:val="0"/>
          <w:sz w:val="24"/>
          <w:szCs w:val="24"/>
        </w:rPr>
        <w:t xml:space="preserve">Mc Murray JJ. Clinical </w:t>
      </w:r>
      <w:proofErr w:type="spellStart"/>
      <w:r w:rsidRPr="000413CE">
        <w:rPr>
          <w:snapToGrid w:val="0"/>
          <w:kern w:val="0"/>
          <w:sz w:val="24"/>
          <w:szCs w:val="24"/>
        </w:rPr>
        <w:t>Practive</w:t>
      </w:r>
      <w:proofErr w:type="spellEnd"/>
      <w:r w:rsidRPr="000413CE">
        <w:rPr>
          <w:snapToGrid w:val="0"/>
          <w:kern w:val="0"/>
          <w:sz w:val="24"/>
          <w:szCs w:val="24"/>
        </w:rPr>
        <w:t>. Systolic Heart Failure. N Eng. J Med 2010;</w:t>
      </w:r>
      <w:r w:rsidRPr="000413CE">
        <w:rPr>
          <w:rFonts w:eastAsiaTheme="minorEastAsia"/>
          <w:snapToGrid w:val="0"/>
          <w:kern w:val="0"/>
          <w:sz w:val="24"/>
          <w:szCs w:val="24"/>
        </w:rPr>
        <w:t xml:space="preserve"> </w:t>
      </w:r>
      <w:r w:rsidRPr="000413CE">
        <w:rPr>
          <w:snapToGrid w:val="0"/>
          <w:kern w:val="0"/>
          <w:sz w:val="24"/>
          <w:szCs w:val="24"/>
        </w:rPr>
        <w:t>362: 228-38.</w:t>
      </w:r>
    </w:p>
    <w:p w14:paraId="4D518B10" w14:textId="3E433C3C" w:rsidR="004514F8" w:rsidRPr="000413CE" w:rsidRDefault="004514F8" w:rsidP="004514F8">
      <w:pPr>
        <w:pStyle w:val="34-SciencePG-References-content"/>
        <w:numPr>
          <w:ilvl w:val="0"/>
          <w:numId w:val="0"/>
        </w:numPr>
        <w:rPr>
          <w:snapToGrid w:val="0"/>
          <w:kern w:val="0"/>
          <w:sz w:val="24"/>
          <w:szCs w:val="24"/>
        </w:rPr>
      </w:pPr>
      <w:r w:rsidRPr="000413CE">
        <w:rPr>
          <w:snapToGrid w:val="0"/>
          <w:kern w:val="0"/>
          <w:sz w:val="24"/>
          <w:szCs w:val="24"/>
        </w:rPr>
        <w:t>[</w:t>
      </w:r>
      <w:r w:rsidRPr="000413CE">
        <w:rPr>
          <w:snapToGrid w:val="0"/>
          <w:kern w:val="0"/>
          <w:sz w:val="24"/>
          <w:szCs w:val="24"/>
        </w:rPr>
        <w:t>1</w:t>
      </w:r>
      <w:r w:rsidR="00597EED" w:rsidRPr="000413CE">
        <w:rPr>
          <w:snapToGrid w:val="0"/>
          <w:kern w:val="0"/>
          <w:sz w:val="24"/>
          <w:szCs w:val="24"/>
        </w:rPr>
        <w:t>9</w:t>
      </w:r>
      <w:r w:rsidRPr="000413CE">
        <w:rPr>
          <w:snapToGrid w:val="0"/>
          <w:kern w:val="0"/>
          <w:sz w:val="24"/>
          <w:szCs w:val="24"/>
        </w:rPr>
        <w:t>] McMurray JJ, Adamopoulos S, Anker SD, Auricchio A, Böhm M, Dickstein K et al. ESC Guidelines for the diagnosis and treatment of acute and chronic heart failure 2012. The Task Force for the Diagnosis and Treatment of Acute and Chronic Heart Failure 2012 of the</w:t>
      </w:r>
      <w:r w:rsidRPr="000413CE">
        <w:rPr>
          <w:rFonts w:eastAsiaTheme="minorEastAsia"/>
          <w:snapToGrid w:val="0"/>
          <w:kern w:val="0"/>
          <w:sz w:val="24"/>
          <w:szCs w:val="24"/>
        </w:rPr>
        <w:t xml:space="preserve"> </w:t>
      </w:r>
      <w:r w:rsidRPr="000413CE">
        <w:rPr>
          <w:snapToGrid w:val="0"/>
          <w:kern w:val="0"/>
          <w:sz w:val="24"/>
          <w:szCs w:val="24"/>
        </w:rPr>
        <w:t>European Society of Cardiology. Developed in collaboration with the Heart Failure Association (HFA) of the ESC. Eur J Heart Fail 2012;</w:t>
      </w:r>
      <w:r w:rsidRPr="000413CE">
        <w:rPr>
          <w:rFonts w:eastAsiaTheme="minorEastAsia"/>
          <w:snapToGrid w:val="0"/>
          <w:kern w:val="0"/>
          <w:sz w:val="24"/>
          <w:szCs w:val="24"/>
        </w:rPr>
        <w:t xml:space="preserve"> </w:t>
      </w:r>
      <w:r w:rsidRPr="000413CE">
        <w:rPr>
          <w:snapToGrid w:val="0"/>
          <w:kern w:val="0"/>
          <w:sz w:val="24"/>
          <w:szCs w:val="24"/>
        </w:rPr>
        <w:t>14:</w:t>
      </w:r>
      <w:r w:rsidRPr="000413CE">
        <w:rPr>
          <w:rFonts w:eastAsiaTheme="minorEastAsia"/>
          <w:snapToGrid w:val="0"/>
          <w:kern w:val="0"/>
          <w:sz w:val="24"/>
          <w:szCs w:val="24"/>
        </w:rPr>
        <w:t xml:space="preserve"> </w:t>
      </w:r>
      <w:r w:rsidRPr="000413CE">
        <w:rPr>
          <w:snapToGrid w:val="0"/>
          <w:kern w:val="0"/>
          <w:sz w:val="24"/>
          <w:szCs w:val="24"/>
        </w:rPr>
        <w:t>802-869.</w:t>
      </w:r>
    </w:p>
    <w:p w14:paraId="68086F1C" w14:textId="4472CCC0" w:rsidR="005F6BA8" w:rsidRPr="000413CE" w:rsidRDefault="004514F8" w:rsidP="00ED71E1">
      <w:pPr>
        <w:pStyle w:val="34-SciencePG-References-content"/>
        <w:numPr>
          <w:ilvl w:val="0"/>
          <w:numId w:val="0"/>
        </w:numPr>
        <w:rPr>
          <w:sz w:val="24"/>
          <w:szCs w:val="24"/>
          <w:lang w:val="es-VE"/>
        </w:rPr>
      </w:pPr>
      <w:r w:rsidRPr="000413CE">
        <w:rPr>
          <w:snapToGrid w:val="0"/>
          <w:kern w:val="0"/>
          <w:sz w:val="24"/>
          <w:szCs w:val="24"/>
        </w:rPr>
        <w:t>[</w:t>
      </w:r>
      <w:r w:rsidR="00597EED" w:rsidRPr="000413CE">
        <w:rPr>
          <w:snapToGrid w:val="0"/>
          <w:kern w:val="0"/>
          <w:sz w:val="24"/>
          <w:szCs w:val="24"/>
        </w:rPr>
        <w:t>20</w:t>
      </w:r>
      <w:r w:rsidRPr="000413CE">
        <w:rPr>
          <w:sz w:val="24"/>
          <w:szCs w:val="24"/>
        </w:rPr>
        <w:t>] Fonarow GC, Abraham WT, Albert NM, Stough WG, Gheorghiade</w:t>
      </w:r>
      <w:r w:rsidRPr="000413CE">
        <w:rPr>
          <w:rFonts w:eastAsiaTheme="minorEastAsia"/>
          <w:sz w:val="24"/>
          <w:szCs w:val="24"/>
        </w:rPr>
        <w:t xml:space="preserve"> </w:t>
      </w:r>
      <w:r w:rsidRPr="000413CE">
        <w:rPr>
          <w:sz w:val="24"/>
          <w:szCs w:val="24"/>
        </w:rPr>
        <w:t xml:space="preserve">M, Young JB et al. OPTIMIZE-HF Investigators and Coordinators, Influence of beta-blocker continuation or withdrawal on outcomes in patients hospitalized with heart failure: findings from the OPTIMIZEHF program. J Am Coll Cardiol. </w:t>
      </w:r>
      <w:r w:rsidRPr="000413CE">
        <w:rPr>
          <w:sz w:val="24"/>
          <w:szCs w:val="24"/>
          <w:lang w:val="es-VE"/>
        </w:rPr>
        <w:t>2008;</w:t>
      </w:r>
      <w:r w:rsidRPr="000413CE">
        <w:rPr>
          <w:rFonts w:eastAsiaTheme="minorEastAsia"/>
          <w:sz w:val="24"/>
          <w:szCs w:val="24"/>
          <w:lang w:val="es-VE"/>
        </w:rPr>
        <w:t xml:space="preserve"> </w:t>
      </w:r>
      <w:r w:rsidRPr="000413CE">
        <w:rPr>
          <w:sz w:val="24"/>
          <w:szCs w:val="24"/>
          <w:lang w:val="es-VE"/>
        </w:rPr>
        <w:t>52:</w:t>
      </w:r>
      <w:r w:rsidRPr="000413CE">
        <w:rPr>
          <w:rFonts w:eastAsiaTheme="minorEastAsia"/>
          <w:sz w:val="24"/>
          <w:szCs w:val="24"/>
          <w:lang w:val="es-VE"/>
        </w:rPr>
        <w:t xml:space="preserve"> </w:t>
      </w:r>
      <w:r w:rsidRPr="000413CE">
        <w:rPr>
          <w:sz w:val="24"/>
          <w:szCs w:val="24"/>
          <w:lang w:val="es-VE"/>
        </w:rPr>
        <w:t>190-199.</w:t>
      </w:r>
      <w:r w:rsidR="005F6BA8" w:rsidRPr="000413CE">
        <w:rPr>
          <w:snapToGrid w:val="0"/>
          <w:kern w:val="0"/>
          <w:sz w:val="24"/>
          <w:szCs w:val="24"/>
          <w:lang w:val="es-VE"/>
        </w:rPr>
        <w:t>38.</w:t>
      </w:r>
    </w:p>
    <w:p w14:paraId="457A5703" w14:textId="61DFE9FD" w:rsidR="003417D8" w:rsidRPr="000413CE" w:rsidRDefault="003417D8" w:rsidP="003417D8">
      <w:pPr>
        <w:pStyle w:val="34-SciencePG-References-content"/>
        <w:numPr>
          <w:ilvl w:val="0"/>
          <w:numId w:val="0"/>
        </w:numPr>
        <w:rPr>
          <w:sz w:val="24"/>
          <w:szCs w:val="24"/>
        </w:rPr>
      </w:pPr>
      <w:bookmarkStart w:id="0" w:name="_Hlk78803267"/>
      <w:r w:rsidRPr="000413CE">
        <w:rPr>
          <w:sz w:val="24"/>
          <w:szCs w:val="24"/>
          <w:lang w:val="es-VE"/>
        </w:rPr>
        <w:t>[</w:t>
      </w:r>
      <w:r w:rsidR="00597EED" w:rsidRPr="000413CE">
        <w:rPr>
          <w:sz w:val="24"/>
          <w:szCs w:val="24"/>
          <w:lang w:val="es-VE"/>
        </w:rPr>
        <w:t>21</w:t>
      </w:r>
      <w:r w:rsidRPr="000413CE">
        <w:rPr>
          <w:sz w:val="24"/>
          <w:szCs w:val="24"/>
          <w:lang w:val="es-VE"/>
        </w:rPr>
        <w:t xml:space="preserve">]Orso F, Baldasseroni S, Fabbri G, Gonzini L, Lucci D, D'Ambrosi C et al. </w:t>
      </w:r>
      <w:r w:rsidRPr="000413CE">
        <w:rPr>
          <w:sz w:val="24"/>
          <w:szCs w:val="24"/>
        </w:rPr>
        <w:t>Italian Survey on Acute Heart Failure Investigators. Role of Beta Blockers in patients admitted for worsening heart failure in a real world: data from the Italian Survey on Acute Heart Failure. Eur J Heart Fail 2009;</w:t>
      </w:r>
      <w:r w:rsidRPr="000413CE">
        <w:rPr>
          <w:rFonts w:eastAsiaTheme="minorEastAsia"/>
          <w:sz w:val="24"/>
          <w:szCs w:val="24"/>
        </w:rPr>
        <w:t xml:space="preserve"> </w:t>
      </w:r>
      <w:r w:rsidRPr="000413CE">
        <w:rPr>
          <w:sz w:val="24"/>
          <w:szCs w:val="24"/>
        </w:rPr>
        <w:t>11: 77–84.</w:t>
      </w:r>
    </w:p>
    <w:bookmarkEnd w:id="0"/>
    <w:p w14:paraId="181AFB5D" w14:textId="5FF31BEB" w:rsidR="005F6BA8" w:rsidRPr="000413CE" w:rsidRDefault="005F6BA8" w:rsidP="00ED71E1">
      <w:pPr>
        <w:pStyle w:val="34-SciencePG-References-content"/>
        <w:numPr>
          <w:ilvl w:val="0"/>
          <w:numId w:val="0"/>
        </w:numPr>
        <w:rPr>
          <w:sz w:val="24"/>
          <w:szCs w:val="24"/>
        </w:rPr>
      </w:pPr>
      <w:r w:rsidRPr="000413CE">
        <w:rPr>
          <w:sz w:val="24"/>
          <w:szCs w:val="24"/>
          <w:lang w:val="es-VE"/>
        </w:rPr>
        <w:t>[2</w:t>
      </w:r>
      <w:r w:rsidR="00597EED" w:rsidRPr="000413CE">
        <w:rPr>
          <w:sz w:val="24"/>
          <w:szCs w:val="24"/>
          <w:lang w:val="es-VE"/>
        </w:rPr>
        <w:t>2</w:t>
      </w:r>
      <w:r w:rsidRPr="000413CE">
        <w:rPr>
          <w:sz w:val="24"/>
          <w:szCs w:val="24"/>
          <w:lang w:val="es-VE"/>
        </w:rPr>
        <w:t xml:space="preserve">] Lobo-Vielma L, Comenares-Mendoza H, Donis JH, Sanchez F, Perez A, Dávila DF. </w:t>
      </w:r>
      <w:r w:rsidRPr="000413CE">
        <w:rPr>
          <w:sz w:val="24"/>
          <w:szCs w:val="24"/>
        </w:rPr>
        <w:t>Acutely decompensated heart failure: Effects of carvedilol on clinical status, neurohormonal activation and ventricular arrhythmias. Int J Cardiol 2010;</w:t>
      </w:r>
      <w:r w:rsidRPr="000413CE">
        <w:rPr>
          <w:rFonts w:eastAsiaTheme="minorEastAsia"/>
          <w:sz w:val="24"/>
          <w:szCs w:val="24"/>
        </w:rPr>
        <w:t xml:space="preserve"> </w:t>
      </w:r>
      <w:r w:rsidRPr="000413CE">
        <w:rPr>
          <w:sz w:val="24"/>
          <w:szCs w:val="24"/>
        </w:rPr>
        <w:t>144:</w:t>
      </w:r>
      <w:r w:rsidRPr="000413CE">
        <w:rPr>
          <w:rFonts w:eastAsiaTheme="minorEastAsia"/>
          <w:sz w:val="24"/>
          <w:szCs w:val="24"/>
        </w:rPr>
        <w:t xml:space="preserve"> </w:t>
      </w:r>
      <w:r w:rsidRPr="000413CE">
        <w:rPr>
          <w:sz w:val="24"/>
          <w:szCs w:val="24"/>
        </w:rPr>
        <w:t>302-303.</w:t>
      </w:r>
    </w:p>
    <w:p w14:paraId="10983750" w14:textId="0DA72FC6" w:rsidR="00597EED" w:rsidRPr="000413CE" w:rsidRDefault="00D0763E" w:rsidP="00D0763E">
      <w:pPr>
        <w:pStyle w:val="34-SciencePG-References-content"/>
        <w:numPr>
          <w:ilvl w:val="0"/>
          <w:numId w:val="0"/>
        </w:numPr>
        <w:rPr>
          <w:sz w:val="24"/>
          <w:szCs w:val="24"/>
        </w:rPr>
      </w:pPr>
      <w:r w:rsidRPr="000413CE">
        <w:rPr>
          <w:sz w:val="24"/>
          <w:szCs w:val="24"/>
        </w:rPr>
        <w:t>[</w:t>
      </w:r>
      <w:proofErr w:type="gramStart"/>
      <w:r w:rsidRPr="000413CE">
        <w:rPr>
          <w:sz w:val="24"/>
          <w:szCs w:val="24"/>
        </w:rPr>
        <w:t>23]</w:t>
      </w:r>
      <w:r w:rsidR="00597EED" w:rsidRPr="000413CE">
        <w:rPr>
          <w:sz w:val="24"/>
          <w:szCs w:val="24"/>
        </w:rPr>
        <w:t>OH</w:t>
      </w:r>
      <w:proofErr w:type="gramEnd"/>
      <w:r w:rsidR="00597EED" w:rsidRPr="000413CE">
        <w:rPr>
          <w:sz w:val="24"/>
          <w:szCs w:val="24"/>
        </w:rPr>
        <w:t xml:space="preserve"> JK, Park SJ, Nagueh SF. Stablished and novel clinical applications of diastolic function assessment by echocardiography.</w:t>
      </w:r>
      <w:r w:rsidR="00597EED" w:rsidRPr="000413CE">
        <w:rPr>
          <w:rFonts w:eastAsiaTheme="minorEastAsia"/>
          <w:sz w:val="24"/>
          <w:szCs w:val="24"/>
        </w:rPr>
        <w:t xml:space="preserve"> </w:t>
      </w:r>
      <w:r w:rsidR="00597EED" w:rsidRPr="000413CE">
        <w:rPr>
          <w:sz w:val="24"/>
          <w:szCs w:val="24"/>
        </w:rPr>
        <w:t>Circ Cardiovasc Imaging 2011;</w:t>
      </w:r>
      <w:r w:rsidR="00597EED" w:rsidRPr="000413CE">
        <w:rPr>
          <w:rFonts w:eastAsiaTheme="minorEastAsia"/>
          <w:sz w:val="24"/>
          <w:szCs w:val="24"/>
        </w:rPr>
        <w:t xml:space="preserve"> </w:t>
      </w:r>
      <w:r w:rsidR="00597EED" w:rsidRPr="000413CE">
        <w:rPr>
          <w:sz w:val="24"/>
          <w:szCs w:val="24"/>
        </w:rPr>
        <w:t>4:</w:t>
      </w:r>
      <w:r w:rsidR="00597EED" w:rsidRPr="000413CE">
        <w:rPr>
          <w:rFonts w:eastAsiaTheme="minorEastAsia"/>
          <w:sz w:val="24"/>
          <w:szCs w:val="24"/>
        </w:rPr>
        <w:t xml:space="preserve"> </w:t>
      </w:r>
      <w:r w:rsidR="00597EED" w:rsidRPr="000413CE">
        <w:rPr>
          <w:sz w:val="24"/>
          <w:szCs w:val="24"/>
        </w:rPr>
        <w:t>444-455.</w:t>
      </w:r>
    </w:p>
    <w:p w14:paraId="72C9B54F" w14:textId="3EB365D0" w:rsidR="00897D79" w:rsidRPr="000413CE" w:rsidRDefault="00897D79" w:rsidP="00897D79">
      <w:pPr>
        <w:pStyle w:val="34-SciencePG-References-content"/>
        <w:numPr>
          <w:ilvl w:val="0"/>
          <w:numId w:val="0"/>
        </w:numPr>
        <w:rPr>
          <w:sz w:val="24"/>
          <w:szCs w:val="24"/>
        </w:rPr>
      </w:pPr>
      <w:r w:rsidRPr="000413CE">
        <w:rPr>
          <w:sz w:val="24"/>
          <w:szCs w:val="24"/>
        </w:rPr>
        <w:t>[2</w:t>
      </w:r>
      <w:r w:rsidR="00D0763E" w:rsidRPr="000413CE">
        <w:rPr>
          <w:sz w:val="24"/>
          <w:szCs w:val="24"/>
        </w:rPr>
        <w:t>4</w:t>
      </w:r>
      <w:r w:rsidRPr="000413CE">
        <w:rPr>
          <w:sz w:val="24"/>
          <w:szCs w:val="24"/>
        </w:rPr>
        <w:t>] Cotter G, Felker GM, Adams KF, Milo-Cotter O, O'Connor CM. The pathophysiology of acute heart failure--is it all about fluid accumulation? Am Heart J. 2008;</w:t>
      </w:r>
      <w:r w:rsidRPr="000413CE">
        <w:rPr>
          <w:rFonts w:eastAsiaTheme="minorEastAsia"/>
          <w:sz w:val="24"/>
          <w:szCs w:val="24"/>
        </w:rPr>
        <w:t xml:space="preserve"> </w:t>
      </w:r>
      <w:r w:rsidRPr="000413CE">
        <w:rPr>
          <w:sz w:val="24"/>
          <w:szCs w:val="24"/>
        </w:rPr>
        <w:t>155:</w:t>
      </w:r>
      <w:r w:rsidRPr="000413CE">
        <w:rPr>
          <w:rFonts w:eastAsiaTheme="minorEastAsia"/>
          <w:sz w:val="24"/>
          <w:szCs w:val="24"/>
        </w:rPr>
        <w:t xml:space="preserve"> </w:t>
      </w:r>
      <w:r w:rsidRPr="000413CE">
        <w:rPr>
          <w:sz w:val="24"/>
          <w:szCs w:val="24"/>
        </w:rPr>
        <w:t>9-18.</w:t>
      </w:r>
    </w:p>
    <w:p w14:paraId="6987398E" w14:textId="09BC452C" w:rsidR="00897D79" w:rsidRPr="000413CE" w:rsidRDefault="00897D79" w:rsidP="00897D79">
      <w:pPr>
        <w:pStyle w:val="34-SciencePG-References-content"/>
        <w:numPr>
          <w:ilvl w:val="0"/>
          <w:numId w:val="0"/>
        </w:numPr>
        <w:rPr>
          <w:sz w:val="24"/>
          <w:szCs w:val="24"/>
        </w:rPr>
      </w:pPr>
      <w:r w:rsidRPr="000413CE">
        <w:rPr>
          <w:sz w:val="24"/>
          <w:szCs w:val="24"/>
        </w:rPr>
        <w:t>[2</w:t>
      </w:r>
      <w:r w:rsidR="00D0763E" w:rsidRPr="000413CE">
        <w:rPr>
          <w:sz w:val="24"/>
          <w:szCs w:val="24"/>
        </w:rPr>
        <w:t>5</w:t>
      </w:r>
      <w:r w:rsidRPr="000413CE">
        <w:rPr>
          <w:sz w:val="24"/>
          <w:szCs w:val="24"/>
        </w:rPr>
        <w:t>] Fallick C, Sobotka PA, Dunlap ME. Sympathetically mediated changes in capacitance: redistribution of the venous reservoir as a cause of decompensation. Circ Heart Fail. 2011;</w:t>
      </w:r>
      <w:r w:rsidRPr="000413CE">
        <w:rPr>
          <w:rFonts w:eastAsiaTheme="minorEastAsia"/>
          <w:sz w:val="24"/>
          <w:szCs w:val="24"/>
        </w:rPr>
        <w:t xml:space="preserve"> </w:t>
      </w:r>
      <w:r w:rsidRPr="000413CE">
        <w:rPr>
          <w:sz w:val="24"/>
          <w:szCs w:val="24"/>
        </w:rPr>
        <w:t>4:</w:t>
      </w:r>
      <w:r w:rsidRPr="000413CE">
        <w:rPr>
          <w:rFonts w:eastAsiaTheme="minorEastAsia"/>
          <w:sz w:val="24"/>
          <w:szCs w:val="24"/>
        </w:rPr>
        <w:t xml:space="preserve"> </w:t>
      </w:r>
      <w:r w:rsidRPr="000413CE">
        <w:rPr>
          <w:sz w:val="24"/>
          <w:szCs w:val="24"/>
        </w:rPr>
        <w:t>669-75.</w:t>
      </w:r>
    </w:p>
    <w:p w14:paraId="2A6FD5B5" w14:textId="668E3655" w:rsidR="00897D79" w:rsidRPr="000413CE" w:rsidRDefault="00897D79" w:rsidP="00897D79">
      <w:pPr>
        <w:pStyle w:val="34-SciencePG-References-content"/>
        <w:numPr>
          <w:ilvl w:val="0"/>
          <w:numId w:val="0"/>
        </w:numPr>
        <w:rPr>
          <w:sz w:val="24"/>
          <w:szCs w:val="24"/>
        </w:rPr>
      </w:pPr>
      <w:r w:rsidRPr="000413CE">
        <w:rPr>
          <w:sz w:val="24"/>
          <w:szCs w:val="24"/>
        </w:rPr>
        <w:t>[30] Gelman S, Mushlin PS. Catecholamine-induced changes in the splanchnic circulation affecting systemic hemodynamics.</w:t>
      </w:r>
      <w:r w:rsidRPr="000413CE">
        <w:rPr>
          <w:rFonts w:eastAsiaTheme="minorEastAsia"/>
          <w:sz w:val="24"/>
          <w:szCs w:val="24"/>
        </w:rPr>
        <w:t xml:space="preserve"> </w:t>
      </w:r>
      <w:r w:rsidRPr="000413CE">
        <w:rPr>
          <w:sz w:val="24"/>
          <w:szCs w:val="24"/>
        </w:rPr>
        <w:t>Anesthesiology 2004;</w:t>
      </w:r>
      <w:r w:rsidRPr="000413CE">
        <w:rPr>
          <w:rFonts w:eastAsiaTheme="minorEastAsia"/>
          <w:sz w:val="24"/>
          <w:szCs w:val="24"/>
        </w:rPr>
        <w:t xml:space="preserve"> </w:t>
      </w:r>
      <w:r w:rsidRPr="000413CE">
        <w:rPr>
          <w:sz w:val="24"/>
          <w:szCs w:val="24"/>
        </w:rPr>
        <w:t>100:</w:t>
      </w:r>
      <w:r w:rsidRPr="000413CE">
        <w:rPr>
          <w:rFonts w:eastAsiaTheme="minorEastAsia"/>
          <w:sz w:val="24"/>
          <w:szCs w:val="24"/>
        </w:rPr>
        <w:t xml:space="preserve"> </w:t>
      </w:r>
      <w:r w:rsidRPr="000413CE">
        <w:rPr>
          <w:sz w:val="24"/>
          <w:szCs w:val="24"/>
        </w:rPr>
        <w:t>434-439.</w:t>
      </w:r>
    </w:p>
    <w:p w14:paraId="5AC59E9B" w14:textId="25FF3A66" w:rsidR="008E0589" w:rsidRPr="000413CE" w:rsidRDefault="008E0589" w:rsidP="008E0589">
      <w:pPr>
        <w:pStyle w:val="34-SciencePG-References-content"/>
        <w:numPr>
          <w:ilvl w:val="0"/>
          <w:numId w:val="0"/>
        </w:numPr>
        <w:rPr>
          <w:sz w:val="24"/>
          <w:szCs w:val="24"/>
        </w:rPr>
      </w:pPr>
      <w:r w:rsidRPr="000413CE">
        <w:rPr>
          <w:sz w:val="24"/>
          <w:szCs w:val="24"/>
        </w:rPr>
        <w:t xml:space="preserve">[31] </w:t>
      </w:r>
      <w:r w:rsidRPr="000413CE">
        <w:rPr>
          <w:sz w:val="24"/>
          <w:szCs w:val="24"/>
        </w:rPr>
        <w:t>Francis GS, Siegel RM, Goldsmith SR, Olivari MT, Levine TB, Cohn JN. Acute vasoconstrictor response to intravenous furosemide in patients with chronic congestive heart failure. Activation of the neurohumoral axis. Ann Intern Med. 1985,</w:t>
      </w:r>
      <w:r w:rsidRPr="000413CE">
        <w:rPr>
          <w:rFonts w:eastAsiaTheme="minorEastAsia"/>
          <w:sz w:val="24"/>
          <w:szCs w:val="24"/>
        </w:rPr>
        <w:t xml:space="preserve"> </w:t>
      </w:r>
      <w:r w:rsidRPr="000413CE">
        <w:rPr>
          <w:sz w:val="24"/>
          <w:szCs w:val="24"/>
        </w:rPr>
        <w:t>103:</w:t>
      </w:r>
      <w:r w:rsidRPr="000413CE">
        <w:rPr>
          <w:rFonts w:eastAsiaTheme="minorEastAsia"/>
          <w:sz w:val="24"/>
          <w:szCs w:val="24"/>
        </w:rPr>
        <w:t xml:space="preserve"> </w:t>
      </w:r>
      <w:r w:rsidRPr="000413CE">
        <w:rPr>
          <w:sz w:val="24"/>
          <w:szCs w:val="24"/>
        </w:rPr>
        <w:t>1-6.</w:t>
      </w:r>
    </w:p>
    <w:p w14:paraId="6A6298A4" w14:textId="3F3C2878" w:rsidR="008E0589" w:rsidRPr="000413CE" w:rsidRDefault="008E0589" w:rsidP="008E0589">
      <w:pPr>
        <w:pStyle w:val="34-SciencePG-References-content"/>
        <w:numPr>
          <w:ilvl w:val="0"/>
          <w:numId w:val="0"/>
        </w:numPr>
        <w:rPr>
          <w:sz w:val="24"/>
          <w:szCs w:val="24"/>
        </w:rPr>
      </w:pPr>
      <w:r w:rsidRPr="000413CE">
        <w:rPr>
          <w:sz w:val="24"/>
          <w:szCs w:val="24"/>
        </w:rPr>
        <w:t xml:space="preserve">[32] </w:t>
      </w:r>
      <w:r w:rsidRPr="000413CE">
        <w:rPr>
          <w:sz w:val="24"/>
          <w:szCs w:val="24"/>
        </w:rPr>
        <w:t>Waagstein F, Hjalmarson A, Varnauskas E, Wallentin I. Effect of chronic beta-adrenergic receptor blockade in congestive</w:t>
      </w:r>
      <w:r w:rsidRPr="000413CE">
        <w:rPr>
          <w:rFonts w:eastAsiaTheme="minorEastAsia"/>
          <w:sz w:val="24"/>
          <w:szCs w:val="24"/>
        </w:rPr>
        <w:t xml:space="preserve"> </w:t>
      </w:r>
      <w:r w:rsidRPr="000413CE">
        <w:rPr>
          <w:sz w:val="24"/>
          <w:szCs w:val="24"/>
        </w:rPr>
        <w:t>cardiomyopathy. Br Heart J. 1975;</w:t>
      </w:r>
      <w:r w:rsidRPr="000413CE">
        <w:rPr>
          <w:rFonts w:eastAsiaTheme="minorEastAsia"/>
          <w:sz w:val="24"/>
          <w:szCs w:val="24"/>
        </w:rPr>
        <w:t xml:space="preserve"> </w:t>
      </w:r>
      <w:r w:rsidRPr="000413CE">
        <w:rPr>
          <w:sz w:val="24"/>
          <w:szCs w:val="24"/>
        </w:rPr>
        <w:t>37:</w:t>
      </w:r>
      <w:r w:rsidRPr="000413CE">
        <w:rPr>
          <w:rFonts w:eastAsiaTheme="minorEastAsia"/>
          <w:sz w:val="24"/>
          <w:szCs w:val="24"/>
        </w:rPr>
        <w:t xml:space="preserve"> </w:t>
      </w:r>
      <w:r w:rsidRPr="000413CE">
        <w:rPr>
          <w:sz w:val="24"/>
          <w:szCs w:val="24"/>
        </w:rPr>
        <w:t>1022-1036.</w:t>
      </w:r>
    </w:p>
    <w:p w14:paraId="6386C0D7" w14:textId="670C56FB" w:rsidR="008E0589" w:rsidRPr="000413CE" w:rsidRDefault="008E0589" w:rsidP="008E0589">
      <w:pPr>
        <w:pStyle w:val="34-SciencePG-References-content"/>
        <w:numPr>
          <w:ilvl w:val="0"/>
          <w:numId w:val="0"/>
        </w:numPr>
        <w:rPr>
          <w:sz w:val="24"/>
          <w:szCs w:val="24"/>
        </w:rPr>
      </w:pPr>
      <w:r w:rsidRPr="000413CE">
        <w:rPr>
          <w:sz w:val="24"/>
          <w:szCs w:val="24"/>
        </w:rPr>
        <w:t xml:space="preserve">33] </w:t>
      </w:r>
      <w:r w:rsidRPr="000413CE">
        <w:rPr>
          <w:sz w:val="24"/>
          <w:szCs w:val="24"/>
        </w:rPr>
        <w:t>Packer M, Bristow MR, Cohn JN, Colucci WS, Fowler MB, Gilbert EM et al. The effect of carvedilol on morbidity and mortality in patients with chronic heart failure. U.S. Carvedilol Heart Failure Study Group. N Engl J Med. 1996;</w:t>
      </w:r>
      <w:r w:rsidRPr="000413CE">
        <w:rPr>
          <w:rFonts w:eastAsiaTheme="minorEastAsia"/>
          <w:sz w:val="24"/>
          <w:szCs w:val="24"/>
        </w:rPr>
        <w:t xml:space="preserve"> </w:t>
      </w:r>
      <w:r w:rsidRPr="000413CE">
        <w:rPr>
          <w:sz w:val="24"/>
          <w:szCs w:val="24"/>
        </w:rPr>
        <w:t>334:</w:t>
      </w:r>
      <w:r w:rsidRPr="000413CE">
        <w:rPr>
          <w:rFonts w:eastAsiaTheme="minorEastAsia"/>
          <w:sz w:val="24"/>
          <w:szCs w:val="24"/>
        </w:rPr>
        <w:t xml:space="preserve"> </w:t>
      </w:r>
      <w:r w:rsidRPr="000413CE">
        <w:rPr>
          <w:sz w:val="24"/>
          <w:szCs w:val="24"/>
        </w:rPr>
        <w:t>1349-1355.</w:t>
      </w:r>
    </w:p>
    <w:p w14:paraId="689FD94A" w14:textId="77777777" w:rsidR="008E0589" w:rsidRPr="000413CE" w:rsidRDefault="008E0589" w:rsidP="008E0589">
      <w:pPr>
        <w:pStyle w:val="34-SciencePG-References-content"/>
        <w:numPr>
          <w:ilvl w:val="0"/>
          <w:numId w:val="0"/>
        </w:numPr>
        <w:rPr>
          <w:sz w:val="24"/>
          <w:szCs w:val="24"/>
        </w:rPr>
      </w:pPr>
      <w:r w:rsidRPr="000413CE">
        <w:rPr>
          <w:sz w:val="24"/>
          <w:szCs w:val="24"/>
        </w:rPr>
        <w:t>[33] Metra M, Torp-Pedersen C, Cleland JG, Di Lenarda A, Komajda M, Remme WJ et al. COMET investigators. Should beta-blocker therapy be reduced or withdrawn after an episode of decompensated heart failure? Results from COMET. Eur J Heart Fail. 2007;</w:t>
      </w:r>
      <w:r w:rsidRPr="000413CE">
        <w:rPr>
          <w:rFonts w:eastAsiaTheme="minorEastAsia"/>
          <w:sz w:val="24"/>
          <w:szCs w:val="24"/>
        </w:rPr>
        <w:t xml:space="preserve"> </w:t>
      </w:r>
      <w:r w:rsidRPr="000413CE">
        <w:rPr>
          <w:sz w:val="24"/>
          <w:szCs w:val="24"/>
        </w:rPr>
        <w:t>9:</w:t>
      </w:r>
      <w:r w:rsidRPr="000413CE">
        <w:rPr>
          <w:rFonts w:eastAsiaTheme="minorEastAsia"/>
          <w:sz w:val="24"/>
          <w:szCs w:val="24"/>
        </w:rPr>
        <w:t xml:space="preserve"> </w:t>
      </w:r>
      <w:r w:rsidRPr="000413CE">
        <w:rPr>
          <w:sz w:val="24"/>
          <w:szCs w:val="24"/>
        </w:rPr>
        <w:t>901-909.</w:t>
      </w:r>
    </w:p>
    <w:p w14:paraId="575FC99E" w14:textId="77777777" w:rsidR="008E0589" w:rsidRPr="000413CE" w:rsidRDefault="008E0589" w:rsidP="008E0589">
      <w:pPr>
        <w:pStyle w:val="34-SciencePG-References-content"/>
        <w:numPr>
          <w:ilvl w:val="0"/>
          <w:numId w:val="0"/>
        </w:numPr>
        <w:rPr>
          <w:sz w:val="24"/>
          <w:szCs w:val="24"/>
        </w:rPr>
      </w:pPr>
      <w:r w:rsidRPr="000413CE">
        <w:rPr>
          <w:sz w:val="24"/>
          <w:szCs w:val="24"/>
        </w:rPr>
        <w:t>[34] Jondeau G, Neuder Y, Eicher JC, Jourdain P, Fauveau E, Galinier M et al. B-CONVINCED Investigators. B-CONVINCED: Beta-blocker CONtinuation Vs. INterruption in patients with Congestive heart failure hospitalizED for a decompensation episode. Eur Heart J.</w:t>
      </w:r>
      <w:r w:rsidRPr="000413CE">
        <w:rPr>
          <w:rFonts w:eastAsiaTheme="minorEastAsia"/>
          <w:sz w:val="24"/>
          <w:szCs w:val="24"/>
        </w:rPr>
        <w:t xml:space="preserve"> </w:t>
      </w:r>
      <w:r w:rsidRPr="000413CE">
        <w:rPr>
          <w:sz w:val="24"/>
          <w:szCs w:val="24"/>
        </w:rPr>
        <w:t>2009;</w:t>
      </w:r>
      <w:r w:rsidRPr="000413CE">
        <w:rPr>
          <w:rFonts w:eastAsiaTheme="minorEastAsia"/>
          <w:sz w:val="24"/>
          <w:szCs w:val="24"/>
        </w:rPr>
        <w:t xml:space="preserve"> </w:t>
      </w:r>
      <w:r w:rsidRPr="000413CE">
        <w:rPr>
          <w:sz w:val="24"/>
          <w:szCs w:val="24"/>
        </w:rPr>
        <w:t>30:</w:t>
      </w:r>
      <w:r w:rsidRPr="000413CE">
        <w:rPr>
          <w:rFonts w:eastAsiaTheme="minorEastAsia"/>
          <w:sz w:val="24"/>
          <w:szCs w:val="24"/>
        </w:rPr>
        <w:t xml:space="preserve"> </w:t>
      </w:r>
      <w:r w:rsidRPr="000413CE">
        <w:rPr>
          <w:sz w:val="24"/>
          <w:szCs w:val="24"/>
        </w:rPr>
        <w:t>2186-</w:t>
      </w:r>
    </w:p>
    <w:p w14:paraId="5F71DA2F" w14:textId="77777777" w:rsidR="008E0589" w:rsidRPr="000413CE" w:rsidRDefault="008E0589" w:rsidP="008E0589">
      <w:pPr>
        <w:pStyle w:val="34-SciencePG-References-content"/>
        <w:numPr>
          <w:ilvl w:val="0"/>
          <w:numId w:val="0"/>
        </w:numPr>
        <w:rPr>
          <w:sz w:val="24"/>
          <w:szCs w:val="24"/>
        </w:rPr>
      </w:pPr>
    </w:p>
    <w:p w14:paraId="73997923" w14:textId="2D54E272" w:rsidR="008E0589" w:rsidRPr="000413CE" w:rsidRDefault="008E0589" w:rsidP="008E0589">
      <w:pPr>
        <w:pStyle w:val="34-SciencePG-References-content"/>
        <w:numPr>
          <w:ilvl w:val="0"/>
          <w:numId w:val="0"/>
        </w:numPr>
        <w:rPr>
          <w:sz w:val="24"/>
          <w:szCs w:val="24"/>
          <w:lang w:val="es-VE"/>
        </w:rPr>
      </w:pPr>
      <w:r w:rsidRPr="000413CE">
        <w:rPr>
          <w:sz w:val="24"/>
          <w:szCs w:val="24"/>
        </w:rPr>
        <w:t>[3</w:t>
      </w:r>
      <w:r w:rsidRPr="000413CE">
        <w:rPr>
          <w:sz w:val="24"/>
          <w:szCs w:val="24"/>
        </w:rPr>
        <w:t>5</w:t>
      </w:r>
      <w:r w:rsidRPr="000413CE">
        <w:rPr>
          <w:sz w:val="24"/>
          <w:szCs w:val="24"/>
        </w:rPr>
        <w:t xml:space="preserve">] Kaye DM, Lefkovits J, Jennings GL, Bergin P, Broughton A, Esler MD. Adverse consequences of high sympathetic nervous activity in the failing human heart. </w:t>
      </w:r>
      <w:r w:rsidRPr="000413CE">
        <w:rPr>
          <w:sz w:val="24"/>
          <w:szCs w:val="24"/>
          <w:lang w:val="es-VE"/>
        </w:rPr>
        <w:t>J Am Coll Cardiol. 1995;</w:t>
      </w:r>
      <w:r w:rsidRPr="000413CE">
        <w:rPr>
          <w:rFonts w:eastAsiaTheme="minorEastAsia"/>
          <w:sz w:val="24"/>
          <w:szCs w:val="24"/>
          <w:lang w:val="es-VE"/>
        </w:rPr>
        <w:t xml:space="preserve"> </w:t>
      </w:r>
      <w:r w:rsidRPr="000413CE">
        <w:rPr>
          <w:sz w:val="24"/>
          <w:szCs w:val="24"/>
          <w:lang w:val="es-VE"/>
        </w:rPr>
        <w:t>26:</w:t>
      </w:r>
      <w:r w:rsidRPr="000413CE">
        <w:rPr>
          <w:rFonts w:eastAsiaTheme="minorEastAsia"/>
          <w:sz w:val="24"/>
          <w:szCs w:val="24"/>
          <w:lang w:val="es-VE"/>
        </w:rPr>
        <w:t xml:space="preserve"> </w:t>
      </w:r>
      <w:r w:rsidRPr="000413CE">
        <w:rPr>
          <w:sz w:val="24"/>
          <w:szCs w:val="24"/>
          <w:lang w:val="es-VE"/>
        </w:rPr>
        <w:t>1257-1263.</w:t>
      </w:r>
    </w:p>
    <w:p w14:paraId="61C92A66" w14:textId="425DE8EC" w:rsidR="008E0589" w:rsidRPr="000413CE" w:rsidRDefault="008E0589" w:rsidP="008E0589">
      <w:pPr>
        <w:pStyle w:val="34-SciencePG-References-content"/>
        <w:numPr>
          <w:ilvl w:val="0"/>
          <w:numId w:val="0"/>
        </w:numPr>
        <w:rPr>
          <w:sz w:val="24"/>
          <w:szCs w:val="24"/>
        </w:rPr>
      </w:pPr>
      <w:r w:rsidRPr="000413CE">
        <w:rPr>
          <w:sz w:val="24"/>
          <w:szCs w:val="24"/>
          <w:lang w:val="es-VE"/>
        </w:rPr>
        <w:t>[3</w:t>
      </w:r>
      <w:r w:rsidRPr="000413CE">
        <w:rPr>
          <w:sz w:val="24"/>
          <w:szCs w:val="24"/>
          <w:lang w:val="es-VE"/>
        </w:rPr>
        <w:t>6</w:t>
      </w:r>
      <w:r w:rsidRPr="000413CE">
        <w:rPr>
          <w:sz w:val="24"/>
          <w:szCs w:val="24"/>
          <w:lang w:val="es-VE"/>
        </w:rPr>
        <w:t xml:space="preserve">] Dávila DF, Núñez TJ, Odreman R, de Dávila CA. </w:t>
      </w:r>
      <w:r w:rsidRPr="000413CE">
        <w:rPr>
          <w:sz w:val="24"/>
          <w:szCs w:val="24"/>
        </w:rPr>
        <w:t>Mechanisms of neurohormonal activation in chronic congestive heart failure: pathophysiology and therapeutic implications. Int J Cardiol. 2005;</w:t>
      </w:r>
      <w:r w:rsidRPr="000413CE">
        <w:rPr>
          <w:rFonts w:eastAsiaTheme="minorEastAsia"/>
          <w:sz w:val="24"/>
          <w:szCs w:val="24"/>
        </w:rPr>
        <w:t xml:space="preserve"> </w:t>
      </w:r>
      <w:r w:rsidRPr="000413CE">
        <w:rPr>
          <w:sz w:val="24"/>
          <w:szCs w:val="24"/>
        </w:rPr>
        <w:t>101:</w:t>
      </w:r>
      <w:r w:rsidRPr="000413CE">
        <w:rPr>
          <w:rFonts w:eastAsiaTheme="minorEastAsia"/>
          <w:sz w:val="24"/>
          <w:szCs w:val="24"/>
        </w:rPr>
        <w:t xml:space="preserve"> </w:t>
      </w:r>
      <w:r w:rsidRPr="000413CE">
        <w:rPr>
          <w:sz w:val="24"/>
          <w:szCs w:val="24"/>
        </w:rPr>
        <w:t>343-346.</w:t>
      </w:r>
    </w:p>
    <w:p w14:paraId="7D6C8077" w14:textId="2A27AF58" w:rsidR="008E0589" w:rsidRPr="000413CE" w:rsidRDefault="008E0589" w:rsidP="008E0589">
      <w:pPr>
        <w:pStyle w:val="34-SciencePG-References-content"/>
        <w:numPr>
          <w:ilvl w:val="0"/>
          <w:numId w:val="0"/>
        </w:numPr>
        <w:rPr>
          <w:sz w:val="24"/>
          <w:szCs w:val="24"/>
        </w:rPr>
      </w:pPr>
      <w:r w:rsidRPr="000413CE">
        <w:rPr>
          <w:sz w:val="24"/>
          <w:szCs w:val="24"/>
        </w:rPr>
        <w:t>[3</w:t>
      </w:r>
      <w:r w:rsidRPr="000413CE">
        <w:rPr>
          <w:sz w:val="24"/>
          <w:szCs w:val="24"/>
        </w:rPr>
        <w:t>7</w:t>
      </w:r>
      <w:r w:rsidRPr="000413CE">
        <w:rPr>
          <w:sz w:val="24"/>
          <w:szCs w:val="24"/>
        </w:rPr>
        <w:t>] Davila DF, Donis JH, Bellabarba G, Torres A, Casado J, Mazzei de Davila C. Cardiac afferents and neurohormonal activation in congestive heart failure. Med Hypotheses. 2000;</w:t>
      </w:r>
      <w:r w:rsidRPr="000413CE">
        <w:rPr>
          <w:rFonts w:eastAsiaTheme="minorEastAsia"/>
          <w:sz w:val="24"/>
          <w:szCs w:val="24"/>
        </w:rPr>
        <w:t xml:space="preserve"> </w:t>
      </w:r>
      <w:r w:rsidRPr="000413CE">
        <w:rPr>
          <w:sz w:val="24"/>
          <w:szCs w:val="24"/>
        </w:rPr>
        <w:t>54:</w:t>
      </w:r>
      <w:r w:rsidRPr="000413CE">
        <w:rPr>
          <w:rFonts w:eastAsiaTheme="minorEastAsia"/>
          <w:sz w:val="24"/>
          <w:szCs w:val="24"/>
        </w:rPr>
        <w:t xml:space="preserve"> </w:t>
      </w:r>
      <w:r w:rsidRPr="000413CE">
        <w:rPr>
          <w:sz w:val="24"/>
          <w:szCs w:val="24"/>
        </w:rPr>
        <w:t>242-253.</w:t>
      </w:r>
    </w:p>
    <w:p w14:paraId="3B3D3BCB" w14:textId="77777777" w:rsidR="008E0589" w:rsidRPr="000413CE" w:rsidRDefault="008E0589" w:rsidP="008E0589">
      <w:pPr>
        <w:pStyle w:val="34-SciencePG-References-content"/>
        <w:numPr>
          <w:ilvl w:val="0"/>
          <w:numId w:val="0"/>
        </w:numPr>
        <w:rPr>
          <w:sz w:val="24"/>
          <w:szCs w:val="24"/>
        </w:rPr>
      </w:pPr>
      <w:r w:rsidRPr="000413CE">
        <w:rPr>
          <w:sz w:val="24"/>
          <w:szCs w:val="24"/>
        </w:rPr>
        <w:t>[35] Nikolaidis LA, Poornima I, Parikh P, Magovern M, Shen YT, Shannon RP. The effects of combined versus selective adrenergic blockade on left ventricular and systemic hemodynamics, myocardial substrate preference, and regional perfusion in conscious dogs with dilated cardiomyopathy. J Am Coll Cardiol. 2006;</w:t>
      </w:r>
      <w:r w:rsidRPr="000413CE">
        <w:rPr>
          <w:rFonts w:eastAsiaTheme="minorEastAsia"/>
          <w:sz w:val="24"/>
          <w:szCs w:val="24"/>
        </w:rPr>
        <w:t xml:space="preserve"> </w:t>
      </w:r>
      <w:r w:rsidRPr="000413CE">
        <w:rPr>
          <w:sz w:val="24"/>
          <w:szCs w:val="24"/>
        </w:rPr>
        <w:t>47:</w:t>
      </w:r>
      <w:r w:rsidRPr="000413CE">
        <w:rPr>
          <w:rFonts w:eastAsiaTheme="minorEastAsia"/>
          <w:sz w:val="24"/>
          <w:szCs w:val="24"/>
        </w:rPr>
        <w:t xml:space="preserve"> </w:t>
      </w:r>
      <w:r w:rsidRPr="000413CE">
        <w:rPr>
          <w:sz w:val="24"/>
          <w:szCs w:val="24"/>
        </w:rPr>
        <w:t>1871-1881.</w:t>
      </w:r>
    </w:p>
    <w:p w14:paraId="0947E63F" w14:textId="77777777" w:rsidR="007B7802" w:rsidRPr="000413CE" w:rsidRDefault="007B7802" w:rsidP="007B7802">
      <w:pPr>
        <w:pStyle w:val="34-SciencePG-References-content"/>
        <w:numPr>
          <w:ilvl w:val="0"/>
          <w:numId w:val="0"/>
        </w:numPr>
        <w:rPr>
          <w:sz w:val="24"/>
          <w:szCs w:val="24"/>
        </w:rPr>
      </w:pPr>
      <w:r w:rsidRPr="000413CE">
        <w:rPr>
          <w:sz w:val="24"/>
          <w:szCs w:val="24"/>
        </w:rPr>
        <w:t>[36] Azevedo ER, Kubo T, Mak S, Al-Hesayen A, Schofield A, Allan R et al. Nonselective versus selective beta-adrenergic receptor blockade in congestive heart failure: differential effects on sympathetic activity.</w:t>
      </w:r>
      <w:r w:rsidRPr="000413CE">
        <w:rPr>
          <w:rFonts w:eastAsiaTheme="minorEastAsia"/>
          <w:sz w:val="24"/>
          <w:szCs w:val="24"/>
        </w:rPr>
        <w:t xml:space="preserve"> </w:t>
      </w:r>
      <w:r w:rsidRPr="000413CE">
        <w:rPr>
          <w:sz w:val="24"/>
          <w:szCs w:val="24"/>
        </w:rPr>
        <w:t>Circulation 2001;</w:t>
      </w:r>
      <w:r w:rsidRPr="000413CE">
        <w:rPr>
          <w:rFonts w:eastAsiaTheme="minorEastAsia"/>
          <w:sz w:val="24"/>
          <w:szCs w:val="24"/>
        </w:rPr>
        <w:t xml:space="preserve"> </w:t>
      </w:r>
      <w:r w:rsidRPr="000413CE">
        <w:rPr>
          <w:sz w:val="24"/>
          <w:szCs w:val="24"/>
        </w:rPr>
        <w:t>104:</w:t>
      </w:r>
      <w:r w:rsidRPr="000413CE">
        <w:rPr>
          <w:rFonts w:eastAsiaTheme="minorEastAsia"/>
          <w:sz w:val="24"/>
          <w:szCs w:val="24"/>
        </w:rPr>
        <w:t xml:space="preserve"> </w:t>
      </w:r>
      <w:r w:rsidRPr="000413CE">
        <w:rPr>
          <w:sz w:val="24"/>
          <w:szCs w:val="24"/>
        </w:rPr>
        <w:t>2194-2199.</w:t>
      </w:r>
    </w:p>
    <w:p w14:paraId="4B2EED71" w14:textId="5CDBF2D5" w:rsidR="007B7802" w:rsidRPr="000413CE" w:rsidRDefault="007B7802" w:rsidP="007B7802">
      <w:pPr>
        <w:pStyle w:val="34-SciencePG-References-content"/>
        <w:numPr>
          <w:ilvl w:val="0"/>
          <w:numId w:val="0"/>
        </w:numPr>
        <w:rPr>
          <w:sz w:val="24"/>
          <w:szCs w:val="24"/>
        </w:rPr>
      </w:pPr>
      <w:r w:rsidRPr="000413CE">
        <w:rPr>
          <w:sz w:val="24"/>
          <w:szCs w:val="24"/>
        </w:rPr>
        <w:t xml:space="preserve">[37] </w:t>
      </w:r>
      <w:r w:rsidRPr="000413CE">
        <w:rPr>
          <w:sz w:val="24"/>
          <w:szCs w:val="24"/>
        </w:rPr>
        <w:t>Aggarwal A, Wong J, Campbell DJ. Carvedilol reduces aldosterone release in systolic heart failure. Heart Lung Circ. 2006;</w:t>
      </w:r>
      <w:r w:rsidRPr="000413CE">
        <w:rPr>
          <w:rFonts w:eastAsiaTheme="minorEastAsia"/>
          <w:sz w:val="24"/>
          <w:szCs w:val="24"/>
        </w:rPr>
        <w:t xml:space="preserve"> </w:t>
      </w:r>
      <w:r w:rsidRPr="000413CE">
        <w:rPr>
          <w:sz w:val="24"/>
          <w:szCs w:val="24"/>
        </w:rPr>
        <w:t>15:</w:t>
      </w:r>
      <w:r w:rsidRPr="000413CE">
        <w:rPr>
          <w:rFonts w:eastAsiaTheme="minorEastAsia"/>
          <w:sz w:val="24"/>
          <w:szCs w:val="24"/>
        </w:rPr>
        <w:t xml:space="preserve"> </w:t>
      </w:r>
      <w:r w:rsidRPr="000413CE">
        <w:rPr>
          <w:sz w:val="24"/>
          <w:szCs w:val="24"/>
        </w:rPr>
        <w:t>306-309.</w:t>
      </w:r>
    </w:p>
    <w:p w14:paraId="0577B809" w14:textId="77777777" w:rsidR="007B7802" w:rsidRPr="000413CE" w:rsidRDefault="007B7802" w:rsidP="007B7802">
      <w:pPr>
        <w:pStyle w:val="34-SciencePG-References-content"/>
        <w:numPr>
          <w:ilvl w:val="0"/>
          <w:numId w:val="0"/>
        </w:numPr>
        <w:rPr>
          <w:sz w:val="24"/>
          <w:szCs w:val="24"/>
        </w:rPr>
      </w:pPr>
      <w:r w:rsidRPr="000413CE">
        <w:rPr>
          <w:sz w:val="24"/>
          <w:szCs w:val="24"/>
        </w:rPr>
        <w:t>[38] Hawkins NM, Petrie MC, Macdonald MR, Jhund PS, Fabbri LM, Wikstrand J et al. Heart failure and chronic obstructive pulmonary disease the quandary of Beta-blockers and Beta-agonists. J Am Coll Cardiol 2011;</w:t>
      </w:r>
      <w:r w:rsidRPr="000413CE">
        <w:rPr>
          <w:rFonts w:eastAsiaTheme="minorEastAsia"/>
          <w:sz w:val="24"/>
          <w:szCs w:val="24"/>
        </w:rPr>
        <w:t xml:space="preserve"> </w:t>
      </w:r>
      <w:r w:rsidRPr="000413CE">
        <w:rPr>
          <w:sz w:val="24"/>
          <w:szCs w:val="24"/>
        </w:rPr>
        <w:t>57:</w:t>
      </w:r>
      <w:r w:rsidRPr="000413CE">
        <w:rPr>
          <w:rFonts w:eastAsiaTheme="minorEastAsia"/>
          <w:sz w:val="24"/>
          <w:szCs w:val="24"/>
        </w:rPr>
        <w:t xml:space="preserve"> </w:t>
      </w:r>
      <w:r w:rsidRPr="000413CE">
        <w:rPr>
          <w:sz w:val="24"/>
          <w:szCs w:val="24"/>
        </w:rPr>
        <w:t>2127-2138.</w:t>
      </w:r>
    </w:p>
    <w:sectPr w:rsidR="007B7802" w:rsidRPr="000413CE" w:rsidSect="00D1016A">
      <w:pgSz w:w="12240" w:h="15840"/>
      <w:pgMar w:top="1417" w:right="170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vTT6120e2aa">
    <w:altName w:val="Cambria"/>
    <w:panose1 w:val="00000000000000000000"/>
    <w:charset w:val="00"/>
    <w:family w:val="roman"/>
    <w:notTrueType/>
    <w:pitch w:val="default"/>
    <w:sig w:usb0="00000003" w:usb1="00000000" w:usb2="00000000" w:usb3="00000000" w:csb0="00000001" w:csb1="00000000"/>
  </w:font>
  <w:font w:name="AdvTT6120e2aa+20">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F16CB"/>
    <w:multiLevelType w:val="hybridMultilevel"/>
    <w:tmpl w:val="295E7894"/>
    <w:lvl w:ilvl="0" w:tplc="6122B19E">
      <w:start w:val="1"/>
      <w:numFmt w:val="decimal"/>
      <w:pStyle w:val="34-SciencePG-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440D61DE"/>
    <w:multiLevelType w:val="hybridMultilevel"/>
    <w:tmpl w:val="6C9E50B6"/>
    <w:lvl w:ilvl="0" w:tplc="2E62C44E">
      <w:start w:val="3"/>
      <w:numFmt w:val="decimal"/>
      <w:lvlText w:val="%1"/>
      <w:lvlJc w:val="left"/>
      <w:pPr>
        <w:ind w:left="780" w:hanging="360"/>
      </w:pPr>
      <w:rPr>
        <w:rFonts w:hint="default"/>
      </w:rPr>
    </w:lvl>
    <w:lvl w:ilvl="1" w:tplc="200A0019" w:tentative="1">
      <w:start w:val="1"/>
      <w:numFmt w:val="lowerLetter"/>
      <w:lvlText w:val="%2."/>
      <w:lvlJc w:val="left"/>
      <w:pPr>
        <w:ind w:left="1500" w:hanging="360"/>
      </w:pPr>
    </w:lvl>
    <w:lvl w:ilvl="2" w:tplc="200A001B" w:tentative="1">
      <w:start w:val="1"/>
      <w:numFmt w:val="lowerRoman"/>
      <w:lvlText w:val="%3."/>
      <w:lvlJc w:val="right"/>
      <w:pPr>
        <w:ind w:left="2220" w:hanging="180"/>
      </w:pPr>
    </w:lvl>
    <w:lvl w:ilvl="3" w:tplc="200A000F" w:tentative="1">
      <w:start w:val="1"/>
      <w:numFmt w:val="decimal"/>
      <w:lvlText w:val="%4."/>
      <w:lvlJc w:val="left"/>
      <w:pPr>
        <w:ind w:left="2940" w:hanging="360"/>
      </w:pPr>
    </w:lvl>
    <w:lvl w:ilvl="4" w:tplc="200A0019" w:tentative="1">
      <w:start w:val="1"/>
      <w:numFmt w:val="lowerLetter"/>
      <w:lvlText w:val="%5."/>
      <w:lvlJc w:val="left"/>
      <w:pPr>
        <w:ind w:left="3660" w:hanging="360"/>
      </w:pPr>
    </w:lvl>
    <w:lvl w:ilvl="5" w:tplc="200A001B" w:tentative="1">
      <w:start w:val="1"/>
      <w:numFmt w:val="lowerRoman"/>
      <w:lvlText w:val="%6."/>
      <w:lvlJc w:val="right"/>
      <w:pPr>
        <w:ind w:left="4380" w:hanging="180"/>
      </w:pPr>
    </w:lvl>
    <w:lvl w:ilvl="6" w:tplc="200A000F" w:tentative="1">
      <w:start w:val="1"/>
      <w:numFmt w:val="decimal"/>
      <w:lvlText w:val="%7."/>
      <w:lvlJc w:val="left"/>
      <w:pPr>
        <w:ind w:left="5100" w:hanging="360"/>
      </w:pPr>
    </w:lvl>
    <w:lvl w:ilvl="7" w:tplc="200A0019" w:tentative="1">
      <w:start w:val="1"/>
      <w:numFmt w:val="lowerLetter"/>
      <w:lvlText w:val="%8."/>
      <w:lvlJc w:val="left"/>
      <w:pPr>
        <w:ind w:left="5820" w:hanging="360"/>
      </w:pPr>
    </w:lvl>
    <w:lvl w:ilvl="8" w:tplc="200A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36F"/>
    <w:rsid w:val="000413CE"/>
    <w:rsid w:val="00051790"/>
    <w:rsid w:val="000D5F09"/>
    <w:rsid w:val="000F421B"/>
    <w:rsid w:val="00152575"/>
    <w:rsid w:val="00156BFD"/>
    <w:rsid w:val="0017092A"/>
    <w:rsid w:val="0019719A"/>
    <w:rsid w:val="001C3208"/>
    <w:rsid w:val="001E46B4"/>
    <w:rsid w:val="0026291C"/>
    <w:rsid w:val="00276787"/>
    <w:rsid w:val="00291476"/>
    <w:rsid w:val="002A6832"/>
    <w:rsid w:val="002B5F70"/>
    <w:rsid w:val="002C47AC"/>
    <w:rsid w:val="00301026"/>
    <w:rsid w:val="003417D8"/>
    <w:rsid w:val="00355A37"/>
    <w:rsid w:val="003958AF"/>
    <w:rsid w:val="003A5FE5"/>
    <w:rsid w:val="003A734E"/>
    <w:rsid w:val="003C48FF"/>
    <w:rsid w:val="003C5902"/>
    <w:rsid w:val="003D0B54"/>
    <w:rsid w:val="003F1078"/>
    <w:rsid w:val="00425F9E"/>
    <w:rsid w:val="004373C1"/>
    <w:rsid w:val="004514F8"/>
    <w:rsid w:val="004622FA"/>
    <w:rsid w:val="004A1E4A"/>
    <w:rsid w:val="005217BC"/>
    <w:rsid w:val="00527962"/>
    <w:rsid w:val="00541884"/>
    <w:rsid w:val="005443B0"/>
    <w:rsid w:val="005643EE"/>
    <w:rsid w:val="00590E20"/>
    <w:rsid w:val="00597EED"/>
    <w:rsid w:val="005F6BA8"/>
    <w:rsid w:val="00601503"/>
    <w:rsid w:val="006A241C"/>
    <w:rsid w:val="006D4207"/>
    <w:rsid w:val="006D43C0"/>
    <w:rsid w:val="006F5CB1"/>
    <w:rsid w:val="00720274"/>
    <w:rsid w:val="00790A25"/>
    <w:rsid w:val="007A1F83"/>
    <w:rsid w:val="007B7802"/>
    <w:rsid w:val="007C1F42"/>
    <w:rsid w:val="007C4DC7"/>
    <w:rsid w:val="007E0D3F"/>
    <w:rsid w:val="007E3B2A"/>
    <w:rsid w:val="008248A0"/>
    <w:rsid w:val="00836A7C"/>
    <w:rsid w:val="00837332"/>
    <w:rsid w:val="00861569"/>
    <w:rsid w:val="0086326F"/>
    <w:rsid w:val="00897D79"/>
    <w:rsid w:val="008B28B5"/>
    <w:rsid w:val="008E0589"/>
    <w:rsid w:val="008F40BF"/>
    <w:rsid w:val="008F76B8"/>
    <w:rsid w:val="00900019"/>
    <w:rsid w:val="0095042F"/>
    <w:rsid w:val="00971062"/>
    <w:rsid w:val="00984553"/>
    <w:rsid w:val="009C7D81"/>
    <w:rsid w:val="00A673B4"/>
    <w:rsid w:val="00A90146"/>
    <w:rsid w:val="00A970C5"/>
    <w:rsid w:val="00AC5D07"/>
    <w:rsid w:val="00AE10BD"/>
    <w:rsid w:val="00B57078"/>
    <w:rsid w:val="00B80CD3"/>
    <w:rsid w:val="00BC1974"/>
    <w:rsid w:val="00C8641F"/>
    <w:rsid w:val="00CB62D0"/>
    <w:rsid w:val="00CC79F2"/>
    <w:rsid w:val="00D0763E"/>
    <w:rsid w:val="00D1016A"/>
    <w:rsid w:val="00D46C4B"/>
    <w:rsid w:val="00D87203"/>
    <w:rsid w:val="00E416CD"/>
    <w:rsid w:val="00E60B99"/>
    <w:rsid w:val="00ED71E1"/>
    <w:rsid w:val="00EE4F66"/>
    <w:rsid w:val="00EE4FB2"/>
    <w:rsid w:val="00EF0FCA"/>
    <w:rsid w:val="00F6136F"/>
    <w:rsid w:val="00F97CFB"/>
    <w:rsid w:val="00FB14A1"/>
    <w:rsid w:val="00FC2FF8"/>
    <w:rsid w:val="00FC6A6F"/>
    <w:rsid w:val="00FD066C"/>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0EB8"/>
  <w15:chartTrackingRefBased/>
  <w15:docId w15:val="{C5823EA1-59EA-459B-A6F1-D7D51557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613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61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613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136F"/>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rsid w:val="00F6136F"/>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F6136F"/>
    <w:rPr>
      <w:rFonts w:asciiTheme="majorHAnsi" w:eastAsiaTheme="majorEastAsia" w:hAnsiTheme="majorHAnsi" w:cstheme="majorBidi"/>
      <w:color w:val="2F5496" w:themeColor="accent1" w:themeShade="BF"/>
      <w:sz w:val="32"/>
      <w:szCs w:val="32"/>
    </w:rPr>
  </w:style>
  <w:style w:type="character" w:styleId="nfasis">
    <w:name w:val="Emphasis"/>
    <w:basedOn w:val="Fuentedeprrafopredeter"/>
    <w:uiPriority w:val="20"/>
    <w:qFormat/>
    <w:rsid w:val="00F6136F"/>
    <w:rPr>
      <w:i/>
      <w:iCs/>
    </w:rPr>
  </w:style>
  <w:style w:type="character" w:styleId="Hipervnculo">
    <w:name w:val="Hyperlink"/>
    <w:basedOn w:val="Fuentedeprrafopredeter"/>
    <w:uiPriority w:val="99"/>
    <w:unhideWhenUsed/>
    <w:rsid w:val="00F6136F"/>
    <w:rPr>
      <w:color w:val="0563C1" w:themeColor="hyperlink"/>
      <w:u w:val="single"/>
    </w:rPr>
  </w:style>
  <w:style w:type="character" w:styleId="Mencinsinresolver">
    <w:name w:val="Unresolved Mention"/>
    <w:basedOn w:val="Fuentedeprrafopredeter"/>
    <w:uiPriority w:val="99"/>
    <w:semiHidden/>
    <w:unhideWhenUsed/>
    <w:rsid w:val="00F6136F"/>
    <w:rPr>
      <w:color w:val="605E5C"/>
      <w:shd w:val="clear" w:color="auto" w:fill="E1DFDD"/>
    </w:rPr>
  </w:style>
  <w:style w:type="paragraph" w:customStyle="1" w:styleId="20-SciencePG-Text">
    <w:name w:val="20-SciencePG-Text"/>
    <w:basedOn w:val="Normal"/>
    <w:qFormat/>
    <w:rsid w:val="00E60B99"/>
    <w:pPr>
      <w:widowControl w:val="0"/>
      <w:adjustRightInd w:val="0"/>
      <w:snapToGrid w:val="0"/>
      <w:spacing w:after="0" w:line="240" w:lineRule="exact"/>
      <w:ind w:firstLineChars="100" w:firstLine="100"/>
      <w:jc w:val="both"/>
    </w:pPr>
    <w:rPr>
      <w:rFonts w:ascii="Times New Roman" w:eastAsia="Times New Roman" w:hAnsi="Times New Roman" w:cs="Times New Roman"/>
      <w:kern w:val="2"/>
      <w:sz w:val="20"/>
      <w:szCs w:val="20"/>
      <w:lang w:val="en-US" w:eastAsia="zh-CN"/>
    </w:rPr>
  </w:style>
  <w:style w:type="paragraph" w:customStyle="1" w:styleId="14-SciencePG-Level1-single-line">
    <w:name w:val="14-SciencePG-Level1-single-line"/>
    <w:basedOn w:val="Normal"/>
    <w:qFormat/>
    <w:rsid w:val="00C8641F"/>
    <w:pPr>
      <w:widowControl w:val="0"/>
      <w:adjustRightInd w:val="0"/>
      <w:snapToGrid w:val="0"/>
      <w:spacing w:before="320" w:line="240" w:lineRule="exact"/>
    </w:pPr>
    <w:rPr>
      <w:rFonts w:ascii="Times New Roman" w:eastAsia="Times New Roman" w:hAnsi="Times New Roman" w:cs="Times New Roman"/>
      <w:b/>
      <w:kern w:val="2"/>
      <w:sz w:val="28"/>
      <w:szCs w:val="28"/>
      <w:lang w:val="en-US" w:eastAsia="zh-CN"/>
    </w:rPr>
  </w:style>
  <w:style w:type="paragraph" w:customStyle="1" w:styleId="34-SciencePG-References-content">
    <w:name w:val="34-SciencePG-References-content"/>
    <w:basedOn w:val="Normal"/>
    <w:qFormat/>
    <w:rsid w:val="00FC2FF8"/>
    <w:pPr>
      <w:widowControl w:val="0"/>
      <w:numPr>
        <w:numId w:val="1"/>
      </w:numPr>
      <w:adjustRightInd w:val="0"/>
      <w:snapToGrid w:val="0"/>
      <w:spacing w:line="200" w:lineRule="exact"/>
      <w:jc w:val="both"/>
    </w:pPr>
    <w:rPr>
      <w:rFonts w:ascii="Times New Roman" w:eastAsia="Times New Roman" w:hAnsi="Times New Roman" w:cs="Times New Roman"/>
      <w:kern w:val="2"/>
      <w:sz w:val="18"/>
      <w:szCs w:val="18"/>
      <w:lang w:val="en-US" w:eastAsia="zh-CN"/>
    </w:rPr>
  </w:style>
  <w:style w:type="paragraph" w:styleId="Sinespaciado">
    <w:name w:val="No Spacing"/>
    <w:uiPriority w:val="1"/>
    <w:qFormat/>
    <w:rsid w:val="001E46B4"/>
    <w:pPr>
      <w:spacing w:after="0" w:line="240" w:lineRule="auto"/>
    </w:pPr>
  </w:style>
  <w:style w:type="paragraph" w:customStyle="1" w:styleId="05-SciencePG-Affiliation">
    <w:name w:val="05-SciencePG-Affiliation"/>
    <w:basedOn w:val="Normal"/>
    <w:qFormat/>
    <w:rsid w:val="00301026"/>
    <w:pPr>
      <w:widowControl w:val="0"/>
      <w:adjustRightInd w:val="0"/>
      <w:snapToGrid w:val="0"/>
      <w:spacing w:after="40" w:line="240" w:lineRule="exact"/>
      <w:ind w:hangingChars="50" w:hanging="51"/>
    </w:pPr>
    <w:rPr>
      <w:rFonts w:ascii="Times New Roman" w:eastAsia="Times New Roman" w:hAnsi="Times New Roman" w:cs="Times New Roman"/>
      <w:kern w:val="2"/>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nis_jose@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3320</Words>
  <Characters>18265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donis</dc:creator>
  <cp:keywords/>
  <dc:description/>
  <cp:lastModifiedBy>jose donis</cp:lastModifiedBy>
  <cp:revision>4</cp:revision>
  <dcterms:created xsi:type="dcterms:W3CDTF">2021-08-02T19:02:00Z</dcterms:created>
  <dcterms:modified xsi:type="dcterms:W3CDTF">2021-08-02T19:14:00Z</dcterms:modified>
</cp:coreProperties>
</file>