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contextualSpacing w:val="0"/>
        <w:rPr/>
      </w:pPr>
      <w:r w:rsidDel="00000000" w:rsidR="00000000" w:rsidRPr="00000000">
        <w:rPr>
          <w:rtl w:val="0"/>
        </w:rPr>
        <w:t xml:space="preserve">Clinical and Experimental Medicine [13 Oct 2017, 18(2):291-295]</w:t>
        <w:br w:type="textWrapping"/>
        <w:t xml:space="preserve">Type: Journal Article </w:t>
        <w:br w:type="textWrapping"/>
        <w:t xml:space="preserve">DOI: 10.1007/s10238-017-0476-z  The Digital Object Identifier (DOI) System enables identification of digital entities</w:t>
      </w:r>
    </w:p>
    <w:p w:rsidR="00000000" w:rsidDel="00000000" w:rsidP="00000000" w:rsidRDefault="00000000" w:rsidRPr="00000000" w14:paraId="00000001">
      <w:pPr>
        <w:contextualSpacing w:val="0"/>
        <w:rPr/>
      </w:pPr>
      <w:r w:rsidDel="00000000" w:rsidR="00000000" w:rsidRPr="00000000">
        <w:rPr>
          <w:rtl w:val="0"/>
        </w:rPr>
        <w:br w:type="textWrapping"/>
        <w:t xml:space="preserve">Abstract</w:t>
        <w:br w:type="textWrapping"/>
        <w:t xml:space="preserve">There is dynamic opportunity to advance medical research and clinical trial innovation in the USA and throughout the world. Identified problems and solutions in the clinical research and clinical trial enterprise have emerged over recent years. Strategic plans, public reports, expertise panels and international agreements have been produced, and now is the time to move forward collectively. Recommendations should be reviewed, especially because global healthcare can take them. A robust and future medical research enterprise hinges on maximized clinical trial efficiency, both in the USA and abroad.</w:t>
      </w:r>
    </w:p>
    <w:sectPr>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contextualSpacing w:val="1"/>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