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BFF" w:rsidRPr="00A10FC1" w:rsidRDefault="00871BFF" w:rsidP="00A10FC1">
      <w:pPr>
        <w:autoSpaceDE w:val="0"/>
        <w:autoSpaceDN w:val="0"/>
        <w:adjustRightInd w:val="0"/>
        <w:spacing w:after="240" w:line="400" w:lineRule="exact"/>
        <w:jc w:val="both"/>
        <w:rPr>
          <w:rFonts w:ascii="Times New Roman" w:hAnsi="Times New Roman" w:cs="Times New Roman"/>
          <w:bCs/>
          <w:sz w:val="36"/>
          <w:szCs w:val="30"/>
        </w:rPr>
      </w:pPr>
      <w:r w:rsidRPr="00A10FC1">
        <w:rPr>
          <w:rFonts w:ascii="Times New Roman" w:hAnsi="Times New Roman" w:cs="Times New Roman"/>
          <w:bCs/>
          <w:sz w:val="36"/>
          <w:szCs w:val="30"/>
        </w:rPr>
        <w:t>Influence of mobile phase modifier and flow-rate on retention time, peak area, HETP and tailing factor in analysis of levocetrizine hydrochloride by HPLC</w:t>
      </w:r>
    </w:p>
    <w:p w:rsidR="007A370E" w:rsidRPr="007A370E" w:rsidRDefault="007A370E" w:rsidP="007A370E">
      <w:pPr>
        <w:autoSpaceDE w:val="0"/>
        <w:autoSpaceDN w:val="0"/>
        <w:adjustRightInd w:val="0"/>
        <w:spacing w:after="240" w:line="400" w:lineRule="exact"/>
        <w:rPr>
          <w:rFonts w:ascii="Times New Roman" w:hAnsi="Times New Roman" w:cs="Times New Roman"/>
          <w:bCs/>
          <w:sz w:val="24"/>
          <w:szCs w:val="30"/>
        </w:rPr>
      </w:pPr>
      <w:r w:rsidRPr="007A370E">
        <w:rPr>
          <w:rFonts w:ascii="Times New Roman" w:hAnsi="Times New Roman" w:cs="Times New Roman"/>
          <w:bCs/>
          <w:sz w:val="24"/>
          <w:szCs w:val="30"/>
        </w:rPr>
        <w:t>Jagdish V. Manwar</w:t>
      </w:r>
      <w:r w:rsidR="005B657B">
        <w:rPr>
          <w:rFonts w:ascii="Times New Roman" w:hAnsi="Times New Roman" w:cs="Times New Roman"/>
          <w:bCs/>
          <w:sz w:val="24"/>
          <w:szCs w:val="30"/>
        </w:rPr>
        <w:t>*</w:t>
      </w:r>
      <w:r w:rsidRPr="007A370E">
        <w:rPr>
          <w:rFonts w:ascii="Times New Roman" w:hAnsi="Times New Roman" w:cs="Times New Roman"/>
          <w:bCs/>
          <w:sz w:val="24"/>
          <w:szCs w:val="30"/>
        </w:rPr>
        <w:t xml:space="preserve">, Dipak D. Kumbhar, Poonam P. Warade, </w:t>
      </w:r>
      <w:proofErr w:type="spellStart"/>
      <w:r w:rsidRPr="007A370E">
        <w:rPr>
          <w:rFonts w:ascii="Times New Roman" w:hAnsi="Times New Roman" w:cs="Times New Roman"/>
          <w:bCs/>
          <w:sz w:val="24"/>
          <w:szCs w:val="30"/>
        </w:rPr>
        <w:t>Ravindra</w:t>
      </w:r>
      <w:proofErr w:type="spellEnd"/>
      <w:r w:rsidRPr="007A370E">
        <w:rPr>
          <w:rFonts w:ascii="Times New Roman" w:hAnsi="Times New Roman" w:cs="Times New Roman"/>
          <w:bCs/>
          <w:sz w:val="24"/>
          <w:szCs w:val="30"/>
        </w:rPr>
        <w:t xml:space="preserve"> L. Bakal</w:t>
      </w:r>
    </w:p>
    <w:p w:rsidR="007A370E" w:rsidRDefault="007A370E" w:rsidP="007A370E">
      <w:pPr>
        <w:autoSpaceDE w:val="0"/>
        <w:autoSpaceDN w:val="0"/>
        <w:adjustRightInd w:val="0"/>
        <w:spacing w:before="240" w:after="160" w:line="200" w:lineRule="exact"/>
        <w:rPr>
          <w:rFonts w:ascii="Times New Roman" w:hAnsi="Times New Roman" w:cs="Times New Roman"/>
          <w:b/>
          <w:szCs w:val="24"/>
        </w:rPr>
      </w:pPr>
      <w:r w:rsidRPr="000A267B">
        <w:rPr>
          <w:rFonts w:ascii="Times New Roman" w:hAnsi="Times New Roman" w:cs="Times New Roman"/>
          <w:b/>
          <w:szCs w:val="24"/>
        </w:rPr>
        <w:t xml:space="preserve">KYDSCT’s College of Pharmacy, </w:t>
      </w:r>
      <w:proofErr w:type="spellStart"/>
      <w:r w:rsidRPr="000A267B">
        <w:rPr>
          <w:rFonts w:ascii="Times New Roman" w:hAnsi="Times New Roman" w:cs="Times New Roman"/>
          <w:b/>
          <w:szCs w:val="24"/>
        </w:rPr>
        <w:t>Sakegaon</w:t>
      </w:r>
      <w:proofErr w:type="spellEnd"/>
      <w:r w:rsidRPr="000A267B">
        <w:rPr>
          <w:rFonts w:ascii="Times New Roman" w:hAnsi="Times New Roman" w:cs="Times New Roman"/>
          <w:b/>
          <w:szCs w:val="24"/>
        </w:rPr>
        <w:t xml:space="preserve"> (</w:t>
      </w:r>
      <w:proofErr w:type="spellStart"/>
      <w:r w:rsidRPr="000A267B">
        <w:rPr>
          <w:rFonts w:ascii="Times New Roman" w:hAnsi="Times New Roman" w:cs="Times New Roman"/>
          <w:b/>
          <w:szCs w:val="24"/>
        </w:rPr>
        <w:t>Bhusawal</w:t>
      </w:r>
      <w:proofErr w:type="spellEnd"/>
      <w:r w:rsidRPr="000A267B">
        <w:rPr>
          <w:rFonts w:ascii="Times New Roman" w:hAnsi="Times New Roman" w:cs="Times New Roman"/>
          <w:b/>
          <w:szCs w:val="24"/>
        </w:rPr>
        <w:t>) - 425 201, Dist. Jalgaon, MS, India</w:t>
      </w:r>
    </w:p>
    <w:p w:rsidR="005B657B" w:rsidRPr="00474F97" w:rsidRDefault="00474F97" w:rsidP="007A370E">
      <w:pPr>
        <w:autoSpaceDE w:val="0"/>
        <w:autoSpaceDN w:val="0"/>
        <w:adjustRightInd w:val="0"/>
        <w:spacing w:before="240" w:after="160" w:line="200" w:lineRule="exact"/>
        <w:rPr>
          <w:rFonts w:ascii="Times New Roman" w:hAnsi="Times New Roman" w:cs="Times New Roman"/>
          <w:b/>
          <w:sz w:val="20"/>
          <w:szCs w:val="24"/>
        </w:rPr>
      </w:pPr>
      <w:r>
        <w:rPr>
          <w:rFonts w:ascii="Times New Roman" w:hAnsi="Times New Roman" w:cs="Times New Roman"/>
          <w:sz w:val="24"/>
          <w:szCs w:val="25"/>
        </w:rPr>
        <w:t>E</w:t>
      </w:r>
      <w:r w:rsidR="005B657B" w:rsidRPr="00474F97">
        <w:rPr>
          <w:rFonts w:ascii="Times New Roman" w:hAnsi="Times New Roman" w:cs="Times New Roman"/>
          <w:sz w:val="24"/>
          <w:szCs w:val="25"/>
        </w:rPr>
        <w:t xml:space="preserve">mail: </w:t>
      </w:r>
      <w:hyperlink r:id="rId4" w:history="1">
        <w:r w:rsidRPr="00474F97">
          <w:rPr>
            <w:rStyle w:val="Hyperlink"/>
            <w:rFonts w:ascii="Times New Roman" w:hAnsi="Times New Roman" w:cs="Times New Roman"/>
            <w:sz w:val="24"/>
            <w:szCs w:val="25"/>
          </w:rPr>
          <w:t>jvmanwar@gmail.com</w:t>
        </w:r>
      </w:hyperlink>
      <w:r w:rsidRPr="00474F97">
        <w:rPr>
          <w:rFonts w:ascii="Times New Roman" w:hAnsi="Times New Roman" w:cs="Times New Roman"/>
          <w:sz w:val="24"/>
          <w:szCs w:val="25"/>
        </w:rPr>
        <w:t xml:space="preserve"> </w:t>
      </w:r>
    </w:p>
    <w:p w:rsidR="00A1520F" w:rsidRDefault="00A1520F" w:rsidP="00871BFF">
      <w:pPr>
        <w:autoSpaceDE w:val="0"/>
        <w:autoSpaceDN w:val="0"/>
        <w:adjustRightInd w:val="0"/>
        <w:spacing w:after="0"/>
        <w:rPr>
          <w:rFonts w:ascii="Times New Roman" w:hAnsi="Times New Roman" w:cs="Times New Roman"/>
          <w:b/>
          <w:sz w:val="24"/>
          <w:szCs w:val="24"/>
        </w:rPr>
      </w:pPr>
    </w:p>
    <w:p w:rsidR="00871BFF" w:rsidRPr="007E490C" w:rsidRDefault="00871BFF" w:rsidP="00871BFF">
      <w:pPr>
        <w:autoSpaceDE w:val="0"/>
        <w:autoSpaceDN w:val="0"/>
        <w:adjustRightInd w:val="0"/>
        <w:spacing w:after="0"/>
        <w:rPr>
          <w:rFonts w:ascii="Times New Roman" w:hAnsi="Times New Roman" w:cs="Times New Roman"/>
          <w:b/>
          <w:sz w:val="24"/>
          <w:szCs w:val="24"/>
        </w:rPr>
      </w:pPr>
      <w:r w:rsidRPr="007E490C">
        <w:rPr>
          <w:rFonts w:ascii="Times New Roman" w:hAnsi="Times New Roman" w:cs="Times New Roman"/>
          <w:b/>
          <w:sz w:val="24"/>
          <w:szCs w:val="24"/>
        </w:rPr>
        <w:t>Abstract</w:t>
      </w:r>
    </w:p>
    <w:p w:rsidR="00871BFF" w:rsidRPr="002A04FF" w:rsidRDefault="00871BFF" w:rsidP="00871BFF">
      <w:pPr>
        <w:tabs>
          <w:tab w:val="left" w:pos="4140"/>
        </w:tabs>
        <w:autoSpaceDE w:val="0"/>
        <w:autoSpaceDN w:val="0"/>
        <w:adjustRightInd w:val="0"/>
        <w:spacing w:after="120"/>
        <w:jc w:val="both"/>
        <w:rPr>
          <w:rFonts w:ascii="Times New Roman" w:hAnsi="Times New Roman" w:cs="Times New Roman"/>
          <w:sz w:val="24"/>
          <w:szCs w:val="24"/>
        </w:rPr>
      </w:pPr>
      <w:r w:rsidRPr="002A04FF">
        <w:rPr>
          <w:rFonts w:ascii="Times New Roman" w:hAnsi="Times New Roman" w:cs="Times New Roman"/>
          <w:sz w:val="24"/>
          <w:szCs w:val="24"/>
        </w:rPr>
        <w:t xml:space="preserve">Aim of the present study was </w:t>
      </w:r>
      <w:r>
        <w:rPr>
          <w:rFonts w:ascii="Times New Roman" w:hAnsi="Times New Roman" w:cs="Times New Roman"/>
          <w:sz w:val="24"/>
          <w:szCs w:val="24"/>
        </w:rPr>
        <w:t xml:space="preserve">to investigate </w:t>
      </w:r>
      <w:r w:rsidRPr="002A04FF">
        <w:rPr>
          <w:rFonts w:ascii="Times New Roman" w:hAnsi="Times New Roman" w:cs="Times New Roman"/>
          <w:sz w:val="24"/>
          <w:szCs w:val="24"/>
        </w:rPr>
        <w:t xml:space="preserve">the </w:t>
      </w:r>
      <w:r>
        <w:rPr>
          <w:rFonts w:ascii="Times New Roman" w:hAnsi="Times New Roman" w:cs="Times New Roman"/>
          <w:sz w:val="24"/>
          <w:szCs w:val="24"/>
        </w:rPr>
        <w:t>i</w:t>
      </w:r>
      <w:r w:rsidRPr="00221F1F">
        <w:rPr>
          <w:rFonts w:ascii="Times New Roman" w:hAnsi="Times New Roman" w:cs="Times New Roman"/>
          <w:sz w:val="24"/>
          <w:szCs w:val="24"/>
        </w:rPr>
        <w:t xml:space="preserve">nfluence of mobile phase modifier and flow-rate </w:t>
      </w:r>
      <w:r w:rsidRPr="002A04FF">
        <w:rPr>
          <w:rFonts w:ascii="Times New Roman" w:hAnsi="Times New Roman" w:cs="Times New Roman"/>
          <w:sz w:val="24"/>
          <w:szCs w:val="24"/>
        </w:rPr>
        <w:t>in the chromatographic separation of anti-histaminic drug. Here, simplest full 3-level factorial design with 2-factors (3</w:t>
      </w:r>
      <w:r w:rsidRPr="002A04FF">
        <w:rPr>
          <w:rFonts w:ascii="Times New Roman" w:hAnsi="Times New Roman" w:cs="Times New Roman"/>
          <w:sz w:val="24"/>
          <w:szCs w:val="24"/>
          <w:vertAlign w:val="superscript"/>
        </w:rPr>
        <w:t>2</w:t>
      </w:r>
      <w:r w:rsidRPr="002A04FF">
        <w:rPr>
          <w:rFonts w:ascii="Times New Roman" w:hAnsi="Times New Roman" w:cs="Times New Roman"/>
          <w:sz w:val="24"/>
          <w:szCs w:val="24"/>
        </w:rPr>
        <w:t xml:space="preserve"> </w:t>
      </w:r>
      <w:proofErr w:type="gramStart"/>
      <w:r w:rsidRPr="002A04FF">
        <w:rPr>
          <w:rFonts w:ascii="Times New Roman" w:hAnsi="Times New Roman" w:cs="Times New Roman"/>
          <w:sz w:val="24"/>
          <w:szCs w:val="24"/>
        </w:rPr>
        <w:t>design</w:t>
      </w:r>
      <w:proofErr w:type="gramEnd"/>
      <w:r w:rsidRPr="002A04FF">
        <w:rPr>
          <w:rFonts w:ascii="Times New Roman" w:hAnsi="Times New Roman" w:cs="Times New Roman"/>
          <w:sz w:val="24"/>
          <w:szCs w:val="24"/>
        </w:rPr>
        <w:t>) was applied to obtain best chromatographic separation of anti-histaminic drug levocetrizine hydrochloride. Two experimental variables selected were (</w:t>
      </w:r>
      <w:proofErr w:type="spellStart"/>
      <w:r w:rsidRPr="002A04FF">
        <w:rPr>
          <w:rFonts w:ascii="Times New Roman" w:hAnsi="Times New Roman" w:cs="Times New Roman"/>
          <w:sz w:val="24"/>
          <w:szCs w:val="24"/>
        </w:rPr>
        <w:t>i</w:t>
      </w:r>
      <w:proofErr w:type="spellEnd"/>
      <w:r w:rsidRPr="002A04FF">
        <w:rPr>
          <w:rFonts w:ascii="Times New Roman" w:hAnsi="Times New Roman" w:cs="Times New Roman"/>
          <w:sz w:val="24"/>
          <w:szCs w:val="24"/>
        </w:rPr>
        <w:t xml:space="preserve">) % of acetonitrile in mobile phase ammonium acetate buffer (10 </w:t>
      </w:r>
      <w:proofErr w:type="spellStart"/>
      <w:r w:rsidRPr="002A04FF">
        <w:rPr>
          <w:rFonts w:ascii="Times New Roman" w:hAnsi="Times New Roman" w:cs="Times New Roman"/>
          <w:sz w:val="24"/>
          <w:szCs w:val="24"/>
        </w:rPr>
        <w:t>mM</w:t>
      </w:r>
      <w:proofErr w:type="spellEnd"/>
      <w:r w:rsidRPr="002A04FF">
        <w:rPr>
          <w:rFonts w:ascii="Times New Roman" w:hAnsi="Times New Roman" w:cs="Times New Roman"/>
          <w:sz w:val="24"/>
          <w:szCs w:val="24"/>
        </w:rPr>
        <w:t xml:space="preserve">, pH 4.8) </w:t>
      </w:r>
      <w:r>
        <w:rPr>
          <w:rFonts w:ascii="Times New Roman" w:hAnsi="Times New Roman" w:cs="Times New Roman"/>
          <w:sz w:val="24"/>
          <w:szCs w:val="24"/>
        </w:rPr>
        <w:t>(</w:t>
      </w:r>
      <w:r w:rsidRPr="00221F1F">
        <w:rPr>
          <w:rFonts w:ascii="Times New Roman" w:hAnsi="Times New Roman" w:cs="Times New Roman"/>
          <w:sz w:val="24"/>
          <w:szCs w:val="24"/>
        </w:rPr>
        <w:t>mobile phase modifier</w:t>
      </w:r>
      <w:r>
        <w:rPr>
          <w:rFonts w:ascii="Times New Roman" w:hAnsi="Times New Roman" w:cs="Times New Roman"/>
          <w:sz w:val="24"/>
          <w:szCs w:val="24"/>
        </w:rPr>
        <w:t xml:space="preserve">) </w:t>
      </w:r>
      <w:r w:rsidRPr="002A04FF">
        <w:rPr>
          <w:rFonts w:ascii="Times New Roman" w:hAnsi="Times New Roman" w:cs="Times New Roman"/>
          <w:sz w:val="24"/>
          <w:szCs w:val="24"/>
        </w:rPr>
        <w:t>and (ii) flow rate of mobile phase. Studied chromatographic separation parameters were (</w:t>
      </w:r>
      <w:proofErr w:type="spellStart"/>
      <w:r w:rsidRPr="002A04FF">
        <w:rPr>
          <w:rFonts w:ascii="Times New Roman" w:hAnsi="Times New Roman" w:cs="Times New Roman"/>
          <w:sz w:val="24"/>
          <w:szCs w:val="24"/>
        </w:rPr>
        <w:t>i</w:t>
      </w:r>
      <w:proofErr w:type="spellEnd"/>
      <w:r w:rsidRPr="002A04FF">
        <w:rPr>
          <w:rFonts w:ascii="Times New Roman" w:hAnsi="Times New Roman" w:cs="Times New Roman"/>
          <w:sz w:val="24"/>
          <w:szCs w:val="24"/>
        </w:rPr>
        <w:t xml:space="preserve">) retention time, (ii) peak area, (iii) </w:t>
      </w:r>
      <w:r>
        <w:rPr>
          <w:rFonts w:ascii="Times New Roman" w:hAnsi="Times New Roman" w:cs="Times New Roman"/>
          <w:sz w:val="24"/>
          <w:szCs w:val="24"/>
        </w:rPr>
        <w:t>HETP</w:t>
      </w:r>
      <w:r w:rsidRPr="002A04FF">
        <w:rPr>
          <w:rFonts w:ascii="Times New Roman" w:hAnsi="Times New Roman" w:cs="Times New Roman"/>
          <w:sz w:val="24"/>
          <w:szCs w:val="24"/>
        </w:rPr>
        <w:t xml:space="preserve"> and </w:t>
      </w:r>
      <w:proofErr w:type="gramStart"/>
      <w:r w:rsidRPr="002A04FF">
        <w:rPr>
          <w:rFonts w:ascii="Times New Roman" w:hAnsi="Times New Roman" w:cs="Times New Roman"/>
          <w:sz w:val="24"/>
          <w:szCs w:val="24"/>
        </w:rPr>
        <w:t>(iv) tailing</w:t>
      </w:r>
      <w:proofErr w:type="gramEnd"/>
      <w:r w:rsidRPr="002A04FF">
        <w:rPr>
          <w:rFonts w:ascii="Times New Roman" w:hAnsi="Times New Roman" w:cs="Times New Roman"/>
          <w:sz w:val="24"/>
          <w:szCs w:val="24"/>
        </w:rPr>
        <w:t xml:space="preserve"> factor. These experimental variables were simultaneously varied in the region of +1, 1, and -1. Using From response surface methodology (RSM), quadratic mathematical models were obtained to predict the chromatographic responses upon varying the experimental variables. From RSM, best level for separation were found to be 1 and -1 for % of acetonitrile in mobile phase and flow rate, respectively. Fittingness of selected set of variables was checked by applying it to the assay of tablet formulation and by performing the validation of method as per ICH guidelines. </w:t>
      </w:r>
    </w:p>
    <w:p w:rsidR="00576285" w:rsidRDefault="00576285"/>
    <w:sectPr w:rsidR="00576285" w:rsidSect="005762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71BFF"/>
    <w:rsid w:val="000A267B"/>
    <w:rsid w:val="00102765"/>
    <w:rsid w:val="00474F97"/>
    <w:rsid w:val="00576285"/>
    <w:rsid w:val="005B657B"/>
    <w:rsid w:val="007A370E"/>
    <w:rsid w:val="007E490C"/>
    <w:rsid w:val="00871BFF"/>
    <w:rsid w:val="00881E91"/>
    <w:rsid w:val="00A10FC1"/>
    <w:rsid w:val="00A1520F"/>
    <w:rsid w:val="00C70A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BF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4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vmanw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Dr</cp:lastModifiedBy>
  <cp:revision>35</cp:revision>
  <dcterms:created xsi:type="dcterms:W3CDTF">2016-12-15T13:48:00Z</dcterms:created>
  <dcterms:modified xsi:type="dcterms:W3CDTF">2016-12-15T13:57:00Z</dcterms:modified>
</cp:coreProperties>
</file>