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63A" w:rsidRPr="006F563A" w:rsidRDefault="006F563A" w:rsidP="006F563A">
      <w:pPr>
        <w:autoSpaceDE w:val="0"/>
        <w:autoSpaceDN w:val="0"/>
        <w:adjustRightInd w:val="0"/>
        <w:spacing w:before="120" w:after="120" w:line="360" w:lineRule="auto"/>
        <w:ind w:left="284" w:right="284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F563A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6F563A" w:rsidRDefault="006F563A" w:rsidP="006F563A">
      <w:pPr>
        <w:autoSpaceDE w:val="0"/>
        <w:autoSpaceDN w:val="0"/>
        <w:adjustRightInd w:val="0"/>
        <w:spacing w:before="120" w:after="120" w:line="360" w:lineRule="auto"/>
        <w:ind w:left="284" w:righ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F563A">
        <w:rPr>
          <w:rFonts w:ascii="Times New Roman" w:hAnsi="Times New Roman" w:cs="Times New Roman"/>
          <w:sz w:val="24"/>
          <w:szCs w:val="24"/>
          <w:lang w:val="en-US"/>
        </w:rPr>
        <w:t>This work presents general insights into the stratigraphic and paleogeographic evolution as well as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>structural architecture and the petroleum potential of Kerkennah Islands, located in the Eastern Tunisia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>Foreland, from Cenomanian to Pliocene times.</w:t>
      </w:r>
    </w:p>
    <w:p w:rsidR="006F563A" w:rsidRDefault="006F563A" w:rsidP="006F563A">
      <w:pPr>
        <w:autoSpaceDE w:val="0"/>
        <w:autoSpaceDN w:val="0"/>
        <w:adjustRightInd w:val="0"/>
        <w:spacing w:before="120" w:after="120" w:line="360" w:lineRule="auto"/>
        <w:ind w:left="284" w:righ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Available data from twenty wells mostly drilled in Cercina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and Chergui fields are used to establish three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lithostratigraphic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correlations as well as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isopach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isobath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maps in order to point out thickness and depth variations of different geological formations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present within our study area; in addition to a synthetic log and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isoporosity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map of the main carbonate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reservoir (the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nummulites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enriched Reineche Member). </w:t>
      </w:r>
    </w:p>
    <w:p w:rsidR="006F563A" w:rsidRDefault="006F563A" w:rsidP="006F563A">
      <w:pPr>
        <w:autoSpaceDE w:val="0"/>
        <w:autoSpaceDN w:val="0"/>
        <w:adjustRightInd w:val="0"/>
        <w:spacing w:before="120" w:after="120" w:line="360" w:lineRule="auto"/>
        <w:ind w:left="284" w:righ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F563A">
        <w:rPr>
          <w:rFonts w:ascii="Times New Roman" w:hAnsi="Times New Roman" w:cs="Times New Roman"/>
          <w:sz w:val="24"/>
          <w:szCs w:val="24"/>
          <w:lang w:val="en-US"/>
        </w:rPr>
        <w:t>The integrated geological study reveals relatively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>condensed but generally continuous sedimentation and a rugged substrate with horsts, grabens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>tilted blocks due to the initiation and the individualization of Kerkennah arch throughout the studied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>geological times. Furthermore, a relationship was highlighted between the evolution of our study zone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and those of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Sirt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basin, Western Mediterranean Sea and Pelagian troughs; this relationship is due to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outstanding location of Kerkennah Islands. </w:t>
      </w:r>
    </w:p>
    <w:p w:rsidR="00D63F1C" w:rsidRPr="006F563A" w:rsidRDefault="006F563A" w:rsidP="006F563A">
      <w:pPr>
        <w:autoSpaceDE w:val="0"/>
        <w:autoSpaceDN w:val="0"/>
        <w:adjustRightInd w:val="0"/>
        <w:spacing w:before="120" w:after="120" w:line="360" w:lineRule="auto"/>
        <w:ind w:left="284" w:righ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The main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Bou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Dabbous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source rock is thicker and more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>mature within the central-east of the Gulf of Gabes indicating therefore the southeast charge of Reineche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>reservoir which shows NW-SE trending tilted block system surrounded by normal faults representing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hydrocarbon migration pathways. Besides, the thick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Oligo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>-Miocene formations deposited during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collapse of the Pelagian block caused the maturation of the </w:t>
      </w:r>
      <w:proofErr w:type="spellStart"/>
      <w:r w:rsidRPr="006F563A">
        <w:rPr>
          <w:rFonts w:ascii="Times New Roman" w:hAnsi="Times New Roman" w:cs="Times New Roman"/>
          <w:sz w:val="24"/>
          <w:szCs w:val="24"/>
          <w:lang w:val="en-US"/>
        </w:rPr>
        <w:t>Ypresian</w:t>
      </w:r>
      <w:proofErr w:type="spellEnd"/>
      <w:r w:rsidRPr="006F563A">
        <w:rPr>
          <w:rFonts w:ascii="Times New Roman" w:hAnsi="Times New Roman" w:cs="Times New Roman"/>
          <w:sz w:val="24"/>
          <w:szCs w:val="24"/>
          <w:lang w:val="en-US"/>
        </w:rPr>
        <w:t xml:space="preserve"> source rock, while the Pliocene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63A">
        <w:rPr>
          <w:rFonts w:ascii="Times New Roman" w:hAnsi="Times New Roman" w:cs="Times New Roman"/>
          <w:sz w:val="24"/>
          <w:szCs w:val="24"/>
          <w:lang w:val="en-US"/>
        </w:rPr>
        <w:t>unconformity allowed basin inversion and hydrocarbon migration.</w:t>
      </w:r>
    </w:p>
    <w:sectPr w:rsidR="00D63F1C" w:rsidRPr="006F563A" w:rsidSect="00D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6F563A"/>
    <w:rsid w:val="006F563A"/>
    <w:rsid w:val="00D63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F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2017-01-23T13:20:00Z</dcterms:created>
  <dcterms:modified xsi:type="dcterms:W3CDTF">2017-01-23T13:22:00Z</dcterms:modified>
</cp:coreProperties>
</file>