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978EE" w14:textId="7FE729C2" w:rsidR="00A66A48" w:rsidRPr="00115C98" w:rsidRDefault="00115C98" w:rsidP="007F15E4">
      <w:pPr>
        <w:jc w:val="center"/>
        <w:rPr>
          <w:rFonts w:ascii="Times New Roman" w:hAnsi="Times New Roman" w:cs="Times New Roman"/>
          <w:b/>
          <w:bCs/>
          <w:sz w:val="28"/>
          <w:szCs w:val="28"/>
        </w:rPr>
      </w:pPr>
      <w:r>
        <w:rPr>
          <w:rFonts w:eastAsia="MS PGothic"/>
          <w:b/>
          <w:color w:val="000000"/>
          <w:sz w:val="28"/>
          <w:szCs w:val="28"/>
        </w:rPr>
        <w:t xml:space="preserve">Title: </w:t>
      </w:r>
      <w:r>
        <w:rPr>
          <w:rFonts w:ascii="Times New Roman" w:hAnsi="Times New Roman" w:cs="Times New Roman"/>
          <w:b/>
          <w:bCs/>
          <w:sz w:val="28"/>
          <w:szCs w:val="28"/>
        </w:rPr>
        <w:t>C</w:t>
      </w:r>
      <w:r w:rsidRPr="00115C98">
        <w:rPr>
          <w:rFonts w:ascii="Times New Roman" w:hAnsi="Times New Roman" w:cs="Times New Roman"/>
          <w:b/>
          <w:bCs/>
          <w:sz w:val="28"/>
          <w:szCs w:val="28"/>
        </w:rPr>
        <w:t>alcu</w:t>
      </w:r>
      <w:r>
        <w:rPr>
          <w:rFonts w:ascii="Times New Roman" w:hAnsi="Times New Roman" w:cs="Times New Roman"/>
          <w:b/>
          <w:bCs/>
          <w:sz w:val="28"/>
          <w:szCs w:val="28"/>
        </w:rPr>
        <w:t>la</w:t>
      </w:r>
      <w:r w:rsidRPr="00115C98">
        <w:rPr>
          <w:rFonts w:ascii="Times New Roman" w:hAnsi="Times New Roman" w:cs="Times New Roman"/>
          <w:b/>
          <w:bCs/>
          <w:sz w:val="28"/>
          <w:szCs w:val="28"/>
        </w:rPr>
        <w:t xml:space="preserve">tion of </w:t>
      </w:r>
      <w:r>
        <w:rPr>
          <w:rFonts w:ascii="Times New Roman" w:hAnsi="Times New Roman" w:cs="Times New Roman"/>
          <w:b/>
          <w:bCs/>
          <w:sz w:val="28"/>
          <w:szCs w:val="28"/>
        </w:rPr>
        <w:t>G</w:t>
      </w:r>
      <w:r w:rsidRPr="00115C98">
        <w:rPr>
          <w:rFonts w:ascii="Times New Roman" w:hAnsi="Times New Roman" w:cs="Times New Roman"/>
          <w:b/>
          <w:bCs/>
          <w:sz w:val="28"/>
          <w:szCs w:val="28"/>
        </w:rPr>
        <w:t xml:space="preserve">as </w:t>
      </w:r>
      <w:r>
        <w:rPr>
          <w:rFonts w:ascii="Times New Roman" w:hAnsi="Times New Roman" w:cs="Times New Roman"/>
          <w:b/>
          <w:bCs/>
          <w:sz w:val="28"/>
          <w:szCs w:val="28"/>
        </w:rPr>
        <w:t>C</w:t>
      </w:r>
      <w:r w:rsidRPr="00115C98">
        <w:rPr>
          <w:rFonts w:ascii="Times New Roman" w:hAnsi="Times New Roman" w:cs="Times New Roman"/>
          <w:b/>
          <w:bCs/>
          <w:sz w:val="28"/>
          <w:szCs w:val="28"/>
        </w:rPr>
        <w:t xml:space="preserve">ompressibility </w:t>
      </w:r>
      <w:r>
        <w:rPr>
          <w:rFonts w:ascii="Times New Roman" w:hAnsi="Times New Roman" w:cs="Times New Roman"/>
          <w:b/>
          <w:bCs/>
          <w:sz w:val="28"/>
          <w:szCs w:val="28"/>
        </w:rPr>
        <w:t>F</w:t>
      </w:r>
      <w:r w:rsidRPr="00115C98">
        <w:rPr>
          <w:rFonts w:ascii="Times New Roman" w:hAnsi="Times New Roman" w:cs="Times New Roman"/>
          <w:b/>
          <w:bCs/>
          <w:sz w:val="28"/>
          <w:szCs w:val="28"/>
        </w:rPr>
        <w:t xml:space="preserve">actors of </w:t>
      </w:r>
      <w:r>
        <w:rPr>
          <w:rFonts w:ascii="Times New Roman" w:hAnsi="Times New Roman" w:cs="Times New Roman"/>
          <w:b/>
          <w:bCs/>
          <w:sz w:val="28"/>
          <w:szCs w:val="28"/>
        </w:rPr>
        <w:t>A</w:t>
      </w:r>
      <w:r w:rsidRPr="00115C98">
        <w:rPr>
          <w:rFonts w:ascii="Times New Roman" w:hAnsi="Times New Roman" w:cs="Times New Roman"/>
          <w:b/>
          <w:bCs/>
          <w:sz w:val="28"/>
          <w:szCs w:val="28"/>
        </w:rPr>
        <w:t xml:space="preserve"> </w:t>
      </w:r>
      <w:r>
        <w:rPr>
          <w:rFonts w:ascii="Times New Roman" w:hAnsi="Times New Roman" w:cs="Times New Roman"/>
          <w:b/>
          <w:bCs/>
          <w:sz w:val="28"/>
          <w:szCs w:val="28"/>
        </w:rPr>
        <w:t>G</w:t>
      </w:r>
      <w:r w:rsidRPr="00115C98">
        <w:rPr>
          <w:rFonts w:ascii="Times New Roman" w:hAnsi="Times New Roman" w:cs="Times New Roman"/>
          <w:b/>
          <w:bCs/>
          <w:sz w:val="28"/>
          <w:szCs w:val="28"/>
        </w:rPr>
        <w:t xml:space="preserve">as </w:t>
      </w:r>
      <w:r>
        <w:rPr>
          <w:rFonts w:ascii="Times New Roman" w:hAnsi="Times New Roman" w:cs="Times New Roman"/>
          <w:b/>
          <w:bCs/>
          <w:sz w:val="28"/>
          <w:szCs w:val="28"/>
        </w:rPr>
        <w:t>W</w:t>
      </w:r>
      <w:r w:rsidRPr="00115C98">
        <w:rPr>
          <w:rFonts w:ascii="Times New Roman" w:hAnsi="Times New Roman" w:cs="Times New Roman"/>
          <w:b/>
          <w:bCs/>
          <w:sz w:val="28"/>
          <w:szCs w:val="28"/>
        </w:rPr>
        <w:t xml:space="preserve">ell </w:t>
      </w:r>
      <w:r w:rsidR="00333E2B">
        <w:rPr>
          <w:rFonts w:ascii="Times New Roman" w:hAnsi="Times New Roman" w:cs="Times New Roman"/>
          <w:b/>
          <w:bCs/>
          <w:sz w:val="28"/>
          <w:szCs w:val="28"/>
        </w:rPr>
        <w:t xml:space="preserve">And </w:t>
      </w:r>
      <w:r>
        <w:rPr>
          <w:rFonts w:ascii="Times New Roman" w:hAnsi="Times New Roman" w:cs="Times New Roman"/>
          <w:b/>
          <w:bCs/>
          <w:sz w:val="28"/>
          <w:szCs w:val="28"/>
        </w:rPr>
        <w:t>C</w:t>
      </w:r>
      <w:r w:rsidRPr="00115C98">
        <w:rPr>
          <w:rFonts w:ascii="Times New Roman" w:hAnsi="Times New Roman" w:cs="Times New Roman"/>
          <w:b/>
          <w:bCs/>
          <w:sz w:val="28"/>
          <w:szCs w:val="28"/>
        </w:rPr>
        <w:t xml:space="preserve">omparison </w:t>
      </w:r>
      <w:r>
        <w:rPr>
          <w:rFonts w:ascii="Times New Roman" w:hAnsi="Times New Roman" w:cs="Times New Roman"/>
          <w:b/>
          <w:bCs/>
          <w:sz w:val="28"/>
          <w:szCs w:val="28"/>
        </w:rPr>
        <w:t>W</w:t>
      </w:r>
      <w:r w:rsidRPr="00115C98">
        <w:rPr>
          <w:rFonts w:ascii="Times New Roman" w:hAnsi="Times New Roman" w:cs="Times New Roman"/>
          <w:b/>
          <w:bCs/>
          <w:sz w:val="28"/>
          <w:szCs w:val="28"/>
        </w:rPr>
        <w:t xml:space="preserve">ith </w:t>
      </w:r>
      <w:r>
        <w:rPr>
          <w:rFonts w:ascii="Times New Roman" w:hAnsi="Times New Roman" w:cs="Times New Roman"/>
          <w:b/>
          <w:bCs/>
          <w:sz w:val="28"/>
          <w:szCs w:val="28"/>
        </w:rPr>
        <w:t>M</w:t>
      </w:r>
      <w:r w:rsidRPr="00115C98">
        <w:rPr>
          <w:rFonts w:ascii="Times New Roman" w:hAnsi="Times New Roman" w:cs="Times New Roman"/>
          <w:b/>
          <w:bCs/>
          <w:sz w:val="28"/>
          <w:szCs w:val="28"/>
        </w:rPr>
        <w:t xml:space="preserve">anually </w:t>
      </w:r>
      <w:r>
        <w:rPr>
          <w:rFonts w:ascii="Times New Roman" w:hAnsi="Times New Roman" w:cs="Times New Roman"/>
          <w:b/>
          <w:bCs/>
          <w:sz w:val="28"/>
          <w:szCs w:val="28"/>
        </w:rPr>
        <w:t>R</w:t>
      </w:r>
      <w:r w:rsidRPr="00115C98">
        <w:rPr>
          <w:rFonts w:ascii="Times New Roman" w:hAnsi="Times New Roman" w:cs="Times New Roman"/>
          <w:b/>
          <w:bCs/>
          <w:sz w:val="28"/>
          <w:szCs w:val="28"/>
        </w:rPr>
        <w:t xml:space="preserve">ead </w:t>
      </w:r>
      <w:r>
        <w:rPr>
          <w:rFonts w:ascii="Times New Roman" w:hAnsi="Times New Roman" w:cs="Times New Roman"/>
          <w:b/>
          <w:bCs/>
          <w:sz w:val="28"/>
          <w:szCs w:val="28"/>
        </w:rPr>
        <w:t>V</w:t>
      </w:r>
      <w:r w:rsidRPr="00115C98">
        <w:rPr>
          <w:rFonts w:ascii="Times New Roman" w:hAnsi="Times New Roman" w:cs="Times New Roman"/>
          <w:b/>
          <w:bCs/>
          <w:sz w:val="28"/>
          <w:szCs w:val="28"/>
        </w:rPr>
        <w:t>alues</w:t>
      </w:r>
    </w:p>
    <w:p w14:paraId="7374D726" w14:textId="646EC044" w:rsidR="007F15E4" w:rsidRDefault="007F15E4" w:rsidP="007F15E4">
      <w:pPr>
        <w:jc w:val="center"/>
      </w:pPr>
    </w:p>
    <w:p w14:paraId="1D5D5993" w14:textId="122B7A5A" w:rsidR="007F15E4" w:rsidRPr="00780FB5" w:rsidRDefault="007F15E4" w:rsidP="007F15E4">
      <w:pPr>
        <w:spacing w:after="0"/>
        <w:jc w:val="center"/>
        <w:rPr>
          <w:rFonts w:ascii="Times New Roman" w:hAnsi="Times New Roman" w:cs="Times New Roman"/>
          <w:i/>
          <w:iCs/>
          <w:color w:val="000000" w:themeColor="text1"/>
          <w:sz w:val="24"/>
          <w:szCs w:val="24"/>
          <w:shd w:val="clear" w:color="auto" w:fill="FFFFFF"/>
        </w:rPr>
      </w:pPr>
      <w:proofErr w:type="spellStart"/>
      <w:r w:rsidRPr="00780FB5">
        <w:rPr>
          <w:rFonts w:ascii="Times New Roman" w:eastAsia="SimSun" w:hAnsi="Times New Roman" w:cs="Times New Roman"/>
          <w:b/>
          <w:i/>
          <w:color w:val="000000" w:themeColor="text1"/>
          <w:sz w:val="24"/>
          <w:szCs w:val="24"/>
        </w:rPr>
        <w:t>A.Gurkan</w:t>
      </w:r>
      <w:proofErr w:type="spellEnd"/>
      <w:r w:rsidRPr="00780FB5">
        <w:rPr>
          <w:rFonts w:ascii="Times New Roman" w:eastAsia="SimSun" w:hAnsi="Times New Roman" w:cs="Times New Roman"/>
          <w:b/>
          <w:i/>
          <w:color w:val="000000" w:themeColor="text1"/>
          <w:sz w:val="24"/>
          <w:szCs w:val="24"/>
        </w:rPr>
        <w:t xml:space="preserve"> Iscan </w:t>
      </w:r>
    </w:p>
    <w:p w14:paraId="214217D3" w14:textId="77777777" w:rsidR="007F15E4" w:rsidRPr="007F15E4" w:rsidRDefault="007F15E4" w:rsidP="007F15E4">
      <w:pPr>
        <w:spacing w:after="0"/>
        <w:jc w:val="center"/>
        <w:rPr>
          <w:rFonts w:ascii="Times New Roman" w:eastAsia="SimSun" w:hAnsi="Times New Roman" w:cs="Times New Roman"/>
          <w:b/>
          <w:bCs/>
          <w:i/>
          <w:iCs/>
          <w:color w:val="000000" w:themeColor="text1"/>
          <w:sz w:val="24"/>
          <w:szCs w:val="24"/>
        </w:rPr>
      </w:pPr>
    </w:p>
    <w:p w14:paraId="7F98AEB3" w14:textId="290196A1" w:rsidR="007F15E4" w:rsidRPr="007F15E4" w:rsidRDefault="007F15E4" w:rsidP="007F15E4">
      <w:pPr>
        <w:pStyle w:val="Els-Affiliation"/>
        <w:rPr>
          <w:b/>
          <w:bCs/>
          <w:noProof w:val="0"/>
          <w:color w:val="000000" w:themeColor="text1"/>
          <w:sz w:val="18"/>
          <w:szCs w:val="18"/>
        </w:rPr>
      </w:pPr>
      <w:r w:rsidRPr="007F15E4">
        <w:rPr>
          <w:b/>
          <w:bCs/>
          <w:noProof w:val="0"/>
          <w:color w:val="000000" w:themeColor="text1"/>
          <w:sz w:val="18"/>
          <w:szCs w:val="18"/>
        </w:rPr>
        <w:t xml:space="preserve">Cyprus International University, Department of Petroleum and Natural Gas Engineering, </w:t>
      </w:r>
      <w:proofErr w:type="spellStart"/>
      <w:r w:rsidRPr="007F15E4">
        <w:rPr>
          <w:b/>
          <w:bCs/>
          <w:noProof w:val="0"/>
          <w:color w:val="000000" w:themeColor="text1"/>
          <w:sz w:val="18"/>
          <w:szCs w:val="18"/>
        </w:rPr>
        <w:t>Lefkosha</w:t>
      </w:r>
      <w:proofErr w:type="spellEnd"/>
      <w:r w:rsidRPr="007F15E4">
        <w:rPr>
          <w:b/>
          <w:bCs/>
          <w:noProof w:val="0"/>
          <w:color w:val="000000" w:themeColor="text1"/>
          <w:sz w:val="18"/>
          <w:szCs w:val="18"/>
        </w:rPr>
        <w:t>, 99258, Turkish Republic of Northern Cyprus</w:t>
      </w:r>
    </w:p>
    <w:p w14:paraId="5A405407" w14:textId="77777777" w:rsidR="007F15E4" w:rsidRDefault="007F15E4" w:rsidP="007F15E4">
      <w:pPr>
        <w:jc w:val="center"/>
      </w:pPr>
    </w:p>
    <w:p w14:paraId="79F653CB" w14:textId="5A05EC3B" w:rsidR="00013419" w:rsidRPr="00115C98" w:rsidRDefault="00196BBB" w:rsidP="008C297F">
      <w:pPr>
        <w:spacing w:after="0" w:line="240" w:lineRule="auto"/>
        <w:jc w:val="both"/>
        <w:rPr>
          <w:rFonts w:ascii="Times New Roman" w:eastAsia="MS PGothic" w:hAnsi="Times New Roman" w:cs="Times New Roman"/>
          <w:color w:val="000000"/>
          <w:sz w:val="24"/>
          <w:szCs w:val="32"/>
          <w:lang w:val="it-IT" w:eastAsia="it-IT"/>
        </w:rPr>
      </w:pPr>
      <w:r w:rsidRPr="00115C98">
        <w:rPr>
          <w:rFonts w:ascii="Times New Roman" w:eastAsia="MS PGothic" w:hAnsi="Times New Roman" w:cs="Times New Roman"/>
          <w:color w:val="000000"/>
          <w:sz w:val="24"/>
          <w:szCs w:val="32"/>
          <w:lang w:val="it-IT" w:eastAsia="it-IT"/>
        </w:rPr>
        <w:t xml:space="preserve">Gas well and gas reservoir </w:t>
      </w:r>
      <w:r w:rsidR="008C297F">
        <w:rPr>
          <w:rFonts w:ascii="Times New Roman" w:eastAsia="MS PGothic" w:hAnsi="Times New Roman" w:cs="Times New Roman"/>
          <w:color w:val="000000"/>
          <w:sz w:val="24"/>
          <w:szCs w:val="32"/>
          <w:lang w:val="it-IT" w:eastAsia="it-IT"/>
        </w:rPr>
        <w:t>evaluations</w:t>
      </w:r>
      <w:r w:rsidRPr="00115C98">
        <w:rPr>
          <w:rFonts w:ascii="Times New Roman" w:eastAsia="MS PGothic" w:hAnsi="Times New Roman" w:cs="Times New Roman"/>
          <w:color w:val="000000"/>
          <w:sz w:val="24"/>
          <w:szCs w:val="32"/>
          <w:lang w:val="it-IT" w:eastAsia="it-IT"/>
        </w:rPr>
        <w:t xml:space="preserve"> constitute a major challenge with the need of several gas and reservoir parameters. The gas phase requires special focus other than the oil phase. The major difference is the compressibility and the viscosity. There are charts for viscosity reading and a </w:t>
      </w:r>
      <w:r w:rsidR="008C297F">
        <w:rPr>
          <w:rFonts w:ascii="Times New Roman" w:eastAsia="MS PGothic" w:hAnsi="Times New Roman" w:cs="Times New Roman"/>
          <w:color w:val="000000"/>
          <w:sz w:val="24"/>
          <w:szCs w:val="32"/>
          <w:lang w:val="it-IT" w:eastAsia="it-IT"/>
        </w:rPr>
        <w:t>well-known</w:t>
      </w:r>
      <w:r w:rsidRPr="00115C98">
        <w:rPr>
          <w:rFonts w:ascii="Times New Roman" w:eastAsia="MS PGothic" w:hAnsi="Times New Roman" w:cs="Times New Roman"/>
          <w:color w:val="000000"/>
          <w:sz w:val="24"/>
          <w:szCs w:val="32"/>
          <w:lang w:val="it-IT" w:eastAsia="it-IT"/>
        </w:rPr>
        <w:t xml:space="preserve"> Standing chart for gas compressibility “z”. In this study, the emphasis is over the compressibility factor. This factor</w:t>
      </w:r>
      <w:r w:rsidR="00D03F1B" w:rsidRPr="00115C98">
        <w:rPr>
          <w:rFonts w:ascii="Times New Roman" w:eastAsia="MS PGothic" w:hAnsi="Times New Roman" w:cs="Times New Roman"/>
          <w:color w:val="000000"/>
          <w:sz w:val="24"/>
          <w:szCs w:val="32"/>
          <w:lang w:val="it-IT" w:eastAsia="it-IT"/>
        </w:rPr>
        <w:t xml:space="preserve"> </w:t>
      </w:r>
      <w:r w:rsidRPr="00115C98">
        <w:rPr>
          <w:rFonts w:ascii="Times New Roman" w:eastAsia="MS PGothic" w:hAnsi="Times New Roman" w:cs="Times New Roman"/>
          <w:color w:val="000000"/>
          <w:sz w:val="24"/>
          <w:szCs w:val="32"/>
          <w:lang w:val="it-IT" w:eastAsia="it-IT"/>
        </w:rPr>
        <w:t>is</w:t>
      </w:r>
      <w:r w:rsidR="008C297F">
        <w:rPr>
          <w:rFonts w:ascii="Times New Roman" w:eastAsia="MS PGothic" w:hAnsi="Times New Roman" w:cs="Times New Roman"/>
          <w:color w:val="000000"/>
          <w:sz w:val="24"/>
          <w:szCs w:val="32"/>
          <w:lang w:val="it-IT" w:eastAsia="it-IT"/>
        </w:rPr>
        <w:t xml:space="preserve"> commonly</w:t>
      </w:r>
      <w:r w:rsidR="00D03F1B" w:rsidRPr="00115C98">
        <w:rPr>
          <w:rFonts w:ascii="Times New Roman" w:eastAsia="MS PGothic" w:hAnsi="Times New Roman" w:cs="Times New Roman"/>
          <w:color w:val="000000"/>
          <w:sz w:val="24"/>
          <w:szCs w:val="32"/>
          <w:lang w:val="it-IT" w:eastAsia="it-IT"/>
        </w:rPr>
        <w:t xml:space="preserve"> </w:t>
      </w:r>
      <w:r w:rsidRPr="00115C98">
        <w:rPr>
          <w:rFonts w:ascii="Times New Roman" w:eastAsia="MS PGothic" w:hAnsi="Times New Roman" w:cs="Times New Roman"/>
          <w:color w:val="000000"/>
          <w:sz w:val="24"/>
          <w:szCs w:val="32"/>
          <w:lang w:val="it-IT" w:eastAsia="it-IT"/>
        </w:rPr>
        <w:t xml:space="preserve"> read from the Standing  and Katz </w:t>
      </w:r>
      <w:r w:rsidR="00D03F1B" w:rsidRPr="00115C98">
        <w:rPr>
          <w:rFonts w:ascii="Times New Roman" w:eastAsia="MS PGothic" w:hAnsi="Times New Roman" w:cs="Times New Roman"/>
          <w:color w:val="000000"/>
          <w:sz w:val="24"/>
          <w:szCs w:val="32"/>
          <w:lang w:val="it-IT" w:eastAsia="it-IT"/>
        </w:rPr>
        <w:t>Compressibility of Natural Gases Chart(194</w:t>
      </w:r>
      <w:r w:rsidR="00457A7E">
        <w:rPr>
          <w:rFonts w:ascii="Times New Roman" w:eastAsia="MS PGothic" w:hAnsi="Times New Roman" w:cs="Times New Roman"/>
          <w:color w:val="000000"/>
          <w:sz w:val="24"/>
          <w:szCs w:val="32"/>
          <w:lang w:val="it-IT" w:eastAsia="it-IT"/>
        </w:rPr>
        <w:t>2</w:t>
      </w:r>
      <w:r w:rsidR="00D03F1B" w:rsidRPr="00115C98">
        <w:rPr>
          <w:rFonts w:ascii="Times New Roman" w:eastAsia="MS PGothic" w:hAnsi="Times New Roman" w:cs="Times New Roman"/>
          <w:color w:val="000000"/>
          <w:sz w:val="24"/>
          <w:szCs w:val="32"/>
          <w:lang w:val="it-IT" w:eastAsia="it-IT"/>
        </w:rPr>
        <w:t>)</w:t>
      </w:r>
      <w:r w:rsidR="008C297F">
        <w:rPr>
          <w:rFonts w:ascii="Times New Roman" w:eastAsia="MS PGothic" w:hAnsi="Times New Roman" w:cs="Times New Roman"/>
          <w:color w:val="000000"/>
          <w:sz w:val="24"/>
          <w:szCs w:val="32"/>
          <w:lang w:val="it-IT" w:eastAsia="it-IT"/>
        </w:rPr>
        <w:t xml:space="preserve"> manually</w:t>
      </w:r>
      <w:r w:rsidR="00D03F1B" w:rsidRPr="00115C98">
        <w:rPr>
          <w:rFonts w:ascii="Times New Roman" w:eastAsia="MS PGothic" w:hAnsi="Times New Roman" w:cs="Times New Roman"/>
          <w:color w:val="000000"/>
          <w:sz w:val="24"/>
          <w:szCs w:val="32"/>
          <w:lang w:val="it-IT" w:eastAsia="it-IT"/>
        </w:rPr>
        <w:t>. The chart is based on utilization of reduced pressure and temperature. However</w:t>
      </w:r>
      <w:r w:rsidR="007F15E4" w:rsidRPr="00115C98">
        <w:rPr>
          <w:rFonts w:ascii="Times New Roman" w:eastAsia="MS PGothic" w:hAnsi="Times New Roman" w:cs="Times New Roman"/>
          <w:color w:val="000000"/>
          <w:sz w:val="24"/>
          <w:szCs w:val="32"/>
          <w:lang w:val="it-IT" w:eastAsia="it-IT"/>
        </w:rPr>
        <w:t>,</w:t>
      </w:r>
      <w:r w:rsidR="00D03F1B" w:rsidRPr="00115C98">
        <w:rPr>
          <w:rFonts w:ascii="Times New Roman" w:eastAsia="MS PGothic" w:hAnsi="Times New Roman" w:cs="Times New Roman"/>
          <w:color w:val="000000"/>
          <w:sz w:val="24"/>
          <w:szCs w:val="32"/>
          <w:lang w:val="it-IT" w:eastAsia="it-IT"/>
        </w:rPr>
        <w:t xml:space="preserve"> for practical and fast utilization a calculation of the compressibility factor was needed. Therefore,</w:t>
      </w:r>
      <w:r w:rsidR="008C297F">
        <w:rPr>
          <w:rFonts w:ascii="Times New Roman" w:eastAsia="MS PGothic" w:hAnsi="Times New Roman" w:cs="Times New Roman"/>
          <w:color w:val="000000"/>
          <w:sz w:val="24"/>
          <w:szCs w:val="32"/>
          <w:lang w:val="it-IT" w:eastAsia="it-IT"/>
        </w:rPr>
        <w:t xml:space="preserve"> this study used</w:t>
      </w:r>
      <w:r w:rsidR="00D03F1B" w:rsidRPr="00115C98">
        <w:rPr>
          <w:rFonts w:ascii="Times New Roman" w:eastAsia="MS PGothic" w:hAnsi="Times New Roman" w:cs="Times New Roman"/>
          <w:color w:val="000000"/>
          <w:sz w:val="24"/>
          <w:szCs w:val="32"/>
          <w:lang w:val="it-IT" w:eastAsia="it-IT"/>
        </w:rPr>
        <w:t xml:space="preserve"> the compressibility</w:t>
      </w:r>
      <w:r w:rsidR="008C297F">
        <w:rPr>
          <w:rFonts w:ascii="Times New Roman" w:eastAsia="MS PGothic" w:hAnsi="Times New Roman" w:cs="Times New Roman"/>
          <w:color w:val="000000"/>
          <w:sz w:val="24"/>
          <w:szCs w:val="32"/>
          <w:lang w:val="it-IT" w:eastAsia="it-IT"/>
        </w:rPr>
        <w:t xml:space="preserve"> </w:t>
      </w:r>
      <w:r w:rsidR="00D03F1B" w:rsidRPr="00115C98">
        <w:rPr>
          <w:rFonts w:ascii="Times New Roman" w:eastAsia="MS PGothic" w:hAnsi="Times New Roman" w:cs="Times New Roman"/>
          <w:color w:val="000000"/>
          <w:sz w:val="24"/>
          <w:szCs w:val="32"/>
          <w:lang w:val="it-IT" w:eastAsia="it-IT"/>
        </w:rPr>
        <w:t xml:space="preserve"> equations which were driven by </w:t>
      </w:r>
      <w:r w:rsidR="00232769" w:rsidRPr="00115C98">
        <w:rPr>
          <w:rFonts w:ascii="Times New Roman" w:eastAsia="MS PGothic" w:hAnsi="Times New Roman" w:cs="Times New Roman"/>
          <w:color w:val="000000"/>
          <w:sz w:val="24"/>
          <w:szCs w:val="32"/>
          <w:lang w:val="it-IT" w:eastAsia="it-IT"/>
        </w:rPr>
        <w:t>Dranchuk</w:t>
      </w:r>
      <w:r w:rsidR="00866AAB" w:rsidRPr="00115C98">
        <w:rPr>
          <w:rFonts w:ascii="Times New Roman" w:eastAsia="MS PGothic" w:hAnsi="Times New Roman" w:cs="Times New Roman"/>
          <w:color w:val="000000"/>
          <w:sz w:val="24"/>
          <w:szCs w:val="32"/>
          <w:lang w:val="it-IT" w:eastAsia="it-IT"/>
        </w:rPr>
        <w:t xml:space="preserve"> and Abou Kassem (1975)</w:t>
      </w:r>
      <w:r w:rsidR="008C297F">
        <w:rPr>
          <w:rFonts w:ascii="Times New Roman" w:eastAsia="MS PGothic" w:hAnsi="Times New Roman" w:cs="Times New Roman"/>
          <w:color w:val="000000"/>
          <w:sz w:val="24"/>
          <w:szCs w:val="32"/>
          <w:lang w:val="it-IT" w:eastAsia="it-IT"/>
        </w:rPr>
        <w:t>to calculate “z” values</w:t>
      </w:r>
      <w:r w:rsidR="00866AAB" w:rsidRPr="00115C98">
        <w:rPr>
          <w:rFonts w:ascii="Times New Roman" w:eastAsia="MS PGothic" w:hAnsi="Times New Roman" w:cs="Times New Roman"/>
          <w:color w:val="000000"/>
          <w:sz w:val="24"/>
          <w:szCs w:val="32"/>
          <w:lang w:val="it-IT" w:eastAsia="it-IT"/>
        </w:rPr>
        <w:t>.</w:t>
      </w:r>
      <w:r w:rsidR="008C297F">
        <w:rPr>
          <w:rFonts w:ascii="Times New Roman" w:eastAsia="MS PGothic" w:hAnsi="Times New Roman" w:cs="Times New Roman"/>
          <w:color w:val="000000"/>
          <w:sz w:val="24"/>
          <w:szCs w:val="32"/>
          <w:lang w:val="it-IT" w:eastAsia="it-IT"/>
        </w:rPr>
        <w:t xml:space="preserve"> In this study,</w:t>
      </w:r>
      <w:r w:rsidR="00866AAB" w:rsidRPr="00115C98">
        <w:rPr>
          <w:rFonts w:ascii="Times New Roman" w:eastAsia="MS PGothic" w:hAnsi="Times New Roman" w:cs="Times New Roman"/>
          <w:color w:val="000000"/>
          <w:sz w:val="24"/>
          <w:szCs w:val="32"/>
          <w:lang w:val="it-IT" w:eastAsia="it-IT"/>
        </w:rPr>
        <w:t xml:space="preserve"> </w:t>
      </w:r>
      <w:r w:rsidR="008C297F">
        <w:rPr>
          <w:rFonts w:ascii="Times New Roman" w:eastAsia="MS PGothic" w:hAnsi="Times New Roman" w:cs="Times New Roman"/>
          <w:color w:val="000000"/>
          <w:sz w:val="24"/>
          <w:szCs w:val="32"/>
          <w:lang w:val="it-IT" w:eastAsia="it-IT"/>
        </w:rPr>
        <w:t>a</w:t>
      </w:r>
      <w:r w:rsidR="00866AAB" w:rsidRPr="00115C98">
        <w:rPr>
          <w:rFonts w:ascii="Times New Roman" w:eastAsia="MS PGothic" w:hAnsi="Times New Roman" w:cs="Times New Roman"/>
          <w:color w:val="000000"/>
          <w:sz w:val="24"/>
          <w:szCs w:val="32"/>
          <w:lang w:val="it-IT" w:eastAsia="it-IT"/>
        </w:rPr>
        <w:t xml:space="preserve"> </w:t>
      </w:r>
      <w:r w:rsidR="006B797E" w:rsidRPr="00115C98">
        <w:rPr>
          <w:rFonts w:ascii="Times New Roman" w:eastAsia="MS PGothic" w:hAnsi="Times New Roman" w:cs="Times New Roman"/>
          <w:color w:val="000000"/>
          <w:sz w:val="24"/>
          <w:szCs w:val="32"/>
          <w:lang w:val="it-IT" w:eastAsia="it-IT"/>
        </w:rPr>
        <w:t>gas</w:t>
      </w:r>
      <w:r w:rsidR="00866AAB" w:rsidRPr="00115C98">
        <w:rPr>
          <w:rFonts w:ascii="Times New Roman" w:eastAsia="MS PGothic" w:hAnsi="Times New Roman" w:cs="Times New Roman"/>
          <w:color w:val="000000"/>
          <w:sz w:val="24"/>
          <w:szCs w:val="32"/>
          <w:lang w:val="it-IT" w:eastAsia="it-IT"/>
        </w:rPr>
        <w:t xml:space="preserve"> reservoir well </w:t>
      </w:r>
      <w:r w:rsidR="00333E2B">
        <w:rPr>
          <w:rFonts w:ascii="Times New Roman" w:eastAsia="MS PGothic" w:hAnsi="Times New Roman" w:cs="Times New Roman"/>
          <w:color w:val="000000"/>
          <w:sz w:val="24"/>
          <w:szCs w:val="32"/>
          <w:lang w:val="it-IT" w:eastAsia="it-IT"/>
        </w:rPr>
        <w:t xml:space="preserve">  </w:t>
      </w:r>
      <w:r w:rsidR="00866AAB" w:rsidRPr="00115C98">
        <w:rPr>
          <w:rFonts w:ascii="Times New Roman" w:eastAsia="MS PGothic" w:hAnsi="Times New Roman" w:cs="Times New Roman"/>
          <w:color w:val="000000"/>
          <w:sz w:val="24"/>
          <w:szCs w:val="32"/>
          <w:lang w:val="it-IT" w:eastAsia="it-IT"/>
        </w:rPr>
        <w:t xml:space="preserve">pressure data were used as the input pressures. The composition of the gas is not available. Therefore, the calculation of the </w:t>
      </w:r>
      <w:r w:rsidR="00CC1164" w:rsidRPr="00115C98">
        <w:rPr>
          <w:rFonts w:ascii="Times New Roman" w:eastAsia="MS PGothic" w:hAnsi="Times New Roman" w:cs="Times New Roman"/>
          <w:color w:val="000000"/>
          <w:sz w:val="24"/>
          <w:szCs w:val="32"/>
          <w:lang w:val="it-IT" w:eastAsia="it-IT"/>
        </w:rPr>
        <w:t>pseudo-</w:t>
      </w:r>
      <w:r w:rsidR="00866AAB" w:rsidRPr="00115C98">
        <w:rPr>
          <w:rFonts w:ascii="Times New Roman" w:eastAsia="MS PGothic" w:hAnsi="Times New Roman" w:cs="Times New Roman"/>
          <w:color w:val="000000"/>
          <w:sz w:val="24"/>
          <w:szCs w:val="32"/>
          <w:lang w:val="it-IT" w:eastAsia="it-IT"/>
        </w:rPr>
        <w:t xml:space="preserve">critical pressure and </w:t>
      </w:r>
      <w:r w:rsidR="00CC1164" w:rsidRPr="00115C98">
        <w:rPr>
          <w:rFonts w:ascii="Times New Roman" w:eastAsia="MS PGothic" w:hAnsi="Times New Roman" w:cs="Times New Roman"/>
          <w:color w:val="000000"/>
          <w:sz w:val="24"/>
          <w:szCs w:val="32"/>
          <w:lang w:val="it-IT" w:eastAsia="it-IT"/>
        </w:rPr>
        <w:t>pseudo-</w:t>
      </w:r>
      <w:r w:rsidR="00866AAB" w:rsidRPr="00115C98">
        <w:rPr>
          <w:rFonts w:ascii="Times New Roman" w:eastAsia="MS PGothic" w:hAnsi="Times New Roman" w:cs="Times New Roman"/>
          <w:color w:val="000000"/>
          <w:sz w:val="24"/>
          <w:szCs w:val="32"/>
          <w:lang w:val="it-IT" w:eastAsia="it-IT"/>
        </w:rPr>
        <w:t xml:space="preserve">critical temperature could </w:t>
      </w:r>
      <w:r w:rsidR="00CC1164" w:rsidRPr="00115C98">
        <w:rPr>
          <w:rFonts w:ascii="Times New Roman" w:eastAsia="MS PGothic" w:hAnsi="Times New Roman" w:cs="Times New Roman"/>
          <w:color w:val="000000"/>
          <w:sz w:val="24"/>
          <w:szCs w:val="32"/>
          <w:lang w:val="it-IT" w:eastAsia="it-IT"/>
        </w:rPr>
        <w:t xml:space="preserve">be calculated using the specific gravity of the gas. The critical properties were calculated by employing the </w:t>
      </w:r>
      <w:r w:rsidR="00866AAB" w:rsidRPr="00115C98">
        <w:rPr>
          <w:rFonts w:ascii="Times New Roman" w:eastAsia="MS PGothic" w:hAnsi="Times New Roman" w:cs="Times New Roman"/>
          <w:color w:val="000000"/>
          <w:sz w:val="24"/>
          <w:szCs w:val="32"/>
          <w:lang w:val="it-IT" w:eastAsia="it-IT"/>
        </w:rPr>
        <w:t>critical pressure and critic</w:t>
      </w:r>
      <w:r w:rsidR="00CC1164" w:rsidRPr="00115C98">
        <w:rPr>
          <w:rFonts w:ascii="Times New Roman" w:eastAsia="MS PGothic" w:hAnsi="Times New Roman" w:cs="Times New Roman"/>
          <w:color w:val="000000"/>
          <w:sz w:val="24"/>
          <w:szCs w:val="32"/>
          <w:lang w:val="it-IT" w:eastAsia="it-IT"/>
        </w:rPr>
        <w:t xml:space="preserve">al temperature correlations </w:t>
      </w:r>
      <w:r w:rsidR="000F0727" w:rsidRPr="00115C98">
        <w:rPr>
          <w:rFonts w:ascii="Times New Roman" w:eastAsia="MS PGothic" w:hAnsi="Times New Roman" w:cs="Times New Roman"/>
          <w:color w:val="000000"/>
          <w:sz w:val="24"/>
          <w:szCs w:val="32"/>
          <w:lang w:val="it-IT" w:eastAsia="it-IT"/>
        </w:rPr>
        <w:t xml:space="preserve">as provided by </w:t>
      </w:r>
      <w:r w:rsidR="00774B9B" w:rsidRPr="00115C98">
        <w:rPr>
          <w:rFonts w:ascii="Times New Roman" w:eastAsia="MS PGothic" w:hAnsi="Times New Roman" w:cs="Times New Roman"/>
          <w:color w:val="000000"/>
          <w:sz w:val="24"/>
          <w:szCs w:val="32"/>
          <w:lang w:val="it-IT" w:eastAsia="it-IT"/>
        </w:rPr>
        <w:t>Standing (1977)</w:t>
      </w:r>
      <w:r w:rsidR="000F0727" w:rsidRPr="00115C98">
        <w:rPr>
          <w:rFonts w:ascii="Times New Roman" w:eastAsia="MS PGothic" w:hAnsi="Times New Roman" w:cs="Times New Roman"/>
          <w:color w:val="000000"/>
          <w:sz w:val="24"/>
          <w:szCs w:val="32"/>
          <w:lang w:val="it-IT" w:eastAsia="it-IT"/>
        </w:rPr>
        <w:t xml:space="preserve"> using the specific gravity of the gas.</w:t>
      </w:r>
      <w:r w:rsidR="00B50227" w:rsidRPr="00115C98">
        <w:rPr>
          <w:rFonts w:ascii="Times New Roman" w:eastAsia="MS PGothic" w:hAnsi="Times New Roman" w:cs="Times New Roman"/>
          <w:color w:val="000000"/>
          <w:sz w:val="24"/>
          <w:szCs w:val="32"/>
          <w:lang w:val="it-IT" w:eastAsia="it-IT"/>
        </w:rPr>
        <w:t xml:space="preserve"> The reservoir temperature is 170 F , specific gravity of the gas is 0.65. The calculated pseudo critical pressure is 671 psi and the pseudo critical temperature is 374 R. The corresponding pseudo reduced temperature is 1.68. The pseudo reduced pressure values were calculated for each pressure data in the test.  The compressibility factor values were calculated  at each  test pressure using corresponding to the pseudo reduced properties.  The compressibility factors were also read manually using the </w:t>
      </w:r>
      <w:r w:rsidR="00013419" w:rsidRPr="00115C98">
        <w:rPr>
          <w:rFonts w:ascii="Times New Roman" w:eastAsia="MS PGothic" w:hAnsi="Times New Roman" w:cs="Times New Roman"/>
          <w:color w:val="000000"/>
          <w:sz w:val="24"/>
          <w:szCs w:val="32"/>
          <w:lang w:val="it-IT" w:eastAsia="it-IT"/>
        </w:rPr>
        <w:t>Standing  and Katz Compressibility of Natural Gases Chart(194</w:t>
      </w:r>
      <w:r w:rsidR="00620D32">
        <w:rPr>
          <w:rFonts w:ascii="Times New Roman" w:eastAsia="MS PGothic" w:hAnsi="Times New Roman" w:cs="Times New Roman"/>
          <w:color w:val="000000"/>
          <w:sz w:val="24"/>
          <w:szCs w:val="32"/>
          <w:lang w:val="it-IT" w:eastAsia="it-IT"/>
        </w:rPr>
        <w:t>2</w:t>
      </w:r>
      <w:r w:rsidR="00013419" w:rsidRPr="00115C98">
        <w:rPr>
          <w:rFonts w:ascii="Times New Roman" w:eastAsia="MS PGothic" w:hAnsi="Times New Roman" w:cs="Times New Roman"/>
          <w:color w:val="000000"/>
          <w:sz w:val="24"/>
          <w:szCs w:val="32"/>
          <w:lang w:val="it-IT" w:eastAsia="it-IT"/>
        </w:rPr>
        <w:t>). The both results from the calculation and the manual reading were plotted</w:t>
      </w:r>
      <w:r w:rsidR="008C42F4" w:rsidRPr="00115C98">
        <w:rPr>
          <w:rFonts w:ascii="Times New Roman" w:eastAsia="MS PGothic" w:hAnsi="Times New Roman" w:cs="Times New Roman"/>
          <w:color w:val="000000"/>
          <w:sz w:val="24"/>
          <w:szCs w:val="32"/>
          <w:lang w:val="it-IT" w:eastAsia="it-IT"/>
        </w:rPr>
        <w:t xml:space="preserve"> as </w:t>
      </w:r>
      <w:r w:rsidR="008C297F">
        <w:rPr>
          <w:rFonts w:ascii="Times New Roman" w:eastAsia="MS PGothic" w:hAnsi="Times New Roman" w:cs="Times New Roman"/>
          <w:color w:val="000000"/>
          <w:sz w:val="24"/>
          <w:szCs w:val="32"/>
          <w:lang w:val="it-IT" w:eastAsia="it-IT"/>
        </w:rPr>
        <w:t>“</w:t>
      </w:r>
      <w:r w:rsidR="008C42F4" w:rsidRPr="00115C98">
        <w:rPr>
          <w:rFonts w:ascii="Times New Roman" w:eastAsia="MS PGothic" w:hAnsi="Times New Roman" w:cs="Times New Roman"/>
          <w:color w:val="000000"/>
          <w:sz w:val="24"/>
          <w:szCs w:val="32"/>
          <w:lang w:val="it-IT" w:eastAsia="it-IT"/>
        </w:rPr>
        <w:t>z</w:t>
      </w:r>
      <w:r w:rsidR="008C297F">
        <w:rPr>
          <w:rFonts w:ascii="Times New Roman" w:eastAsia="MS PGothic" w:hAnsi="Times New Roman" w:cs="Times New Roman"/>
          <w:color w:val="000000"/>
          <w:sz w:val="24"/>
          <w:szCs w:val="32"/>
          <w:lang w:val="it-IT" w:eastAsia="it-IT"/>
        </w:rPr>
        <w:t>”</w:t>
      </w:r>
      <w:r w:rsidR="008C42F4" w:rsidRPr="00115C98">
        <w:rPr>
          <w:rFonts w:ascii="Times New Roman" w:eastAsia="MS PGothic" w:hAnsi="Times New Roman" w:cs="Times New Roman"/>
          <w:color w:val="000000"/>
          <w:sz w:val="24"/>
          <w:szCs w:val="32"/>
          <w:lang w:val="it-IT" w:eastAsia="it-IT"/>
        </w:rPr>
        <w:t xml:space="preserve"> versus pseudo reduced pressure at constant pseudo re</w:t>
      </w:r>
      <w:r w:rsidR="00115C98" w:rsidRPr="00115C98">
        <w:rPr>
          <w:rFonts w:ascii="Times New Roman" w:eastAsia="MS PGothic" w:hAnsi="Times New Roman" w:cs="Times New Roman"/>
          <w:color w:val="000000"/>
          <w:sz w:val="24"/>
          <w:szCs w:val="32"/>
          <w:lang w:val="it-IT" w:eastAsia="it-IT"/>
        </w:rPr>
        <w:t>d</w:t>
      </w:r>
      <w:r w:rsidR="008C42F4" w:rsidRPr="00115C98">
        <w:rPr>
          <w:rFonts w:ascii="Times New Roman" w:eastAsia="MS PGothic" w:hAnsi="Times New Roman" w:cs="Times New Roman"/>
          <w:color w:val="000000"/>
          <w:sz w:val="24"/>
          <w:szCs w:val="32"/>
          <w:lang w:val="it-IT" w:eastAsia="it-IT"/>
        </w:rPr>
        <w:t>uced temperature of 1.68 (</w:t>
      </w:r>
      <w:r w:rsidR="006B797E" w:rsidRPr="00115C98">
        <w:rPr>
          <w:rFonts w:ascii="Times New Roman" w:eastAsia="MS PGothic" w:hAnsi="Times New Roman" w:cs="Times New Roman"/>
          <w:color w:val="000000"/>
          <w:sz w:val="24"/>
          <w:szCs w:val="32"/>
          <w:lang w:val="it-IT" w:eastAsia="it-IT"/>
        </w:rPr>
        <w:fldChar w:fldCharType="begin"/>
      </w:r>
      <w:r w:rsidR="006B797E" w:rsidRPr="00115C98">
        <w:rPr>
          <w:rFonts w:ascii="Times New Roman" w:eastAsia="MS PGothic" w:hAnsi="Times New Roman" w:cs="Times New Roman"/>
          <w:color w:val="000000"/>
          <w:sz w:val="24"/>
          <w:szCs w:val="32"/>
          <w:lang w:val="it-IT" w:eastAsia="it-IT"/>
        </w:rPr>
        <w:instrText xml:space="preserve"> REF _Ref81576312 \h  \* MERGEFORMAT </w:instrText>
      </w:r>
      <w:r w:rsidR="006B797E" w:rsidRPr="00115C98">
        <w:rPr>
          <w:rFonts w:ascii="Times New Roman" w:eastAsia="MS PGothic" w:hAnsi="Times New Roman" w:cs="Times New Roman"/>
          <w:color w:val="000000"/>
          <w:sz w:val="24"/>
          <w:szCs w:val="32"/>
          <w:lang w:val="it-IT" w:eastAsia="it-IT"/>
        </w:rPr>
      </w:r>
      <w:r w:rsidR="006B797E" w:rsidRPr="00115C98">
        <w:rPr>
          <w:rFonts w:ascii="Times New Roman" w:eastAsia="MS PGothic" w:hAnsi="Times New Roman" w:cs="Times New Roman"/>
          <w:color w:val="000000"/>
          <w:sz w:val="24"/>
          <w:szCs w:val="32"/>
          <w:lang w:val="it-IT" w:eastAsia="it-IT"/>
        </w:rPr>
        <w:fldChar w:fldCharType="separate"/>
      </w:r>
      <w:r w:rsidR="000F66FA" w:rsidRPr="000F66FA">
        <w:rPr>
          <w:rFonts w:ascii="Times New Roman" w:eastAsia="MS PGothic" w:hAnsi="Times New Roman" w:cs="Times New Roman"/>
          <w:color w:val="000000"/>
          <w:sz w:val="24"/>
          <w:szCs w:val="32"/>
          <w:lang w:val="it-IT" w:eastAsia="it-IT"/>
        </w:rPr>
        <w:t>Figure 1</w:t>
      </w:r>
      <w:r w:rsidR="006B797E" w:rsidRPr="00115C98">
        <w:rPr>
          <w:rFonts w:ascii="Times New Roman" w:eastAsia="MS PGothic" w:hAnsi="Times New Roman" w:cs="Times New Roman"/>
          <w:color w:val="000000"/>
          <w:sz w:val="24"/>
          <w:szCs w:val="32"/>
          <w:lang w:val="it-IT" w:eastAsia="it-IT"/>
        </w:rPr>
        <w:fldChar w:fldCharType="end"/>
      </w:r>
      <w:r w:rsidR="008C42F4" w:rsidRPr="00115C98">
        <w:rPr>
          <w:rFonts w:ascii="Times New Roman" w:eastAsia="MS PGothic" w:hAnsi="Times New Roman" w:cs="Times New Roman"/>
          <w:color w:val="000000"/>
          <w:sz w:val="24"/>
          <w:szCs w:val="32"/>
          <w:lang w:val="it-IT" w:eastAsia="it-IT"/>
        </w:rPr>
        <w:t>)</w:t>
      </w:r>
      <w:r w:rsidR="00013419" w:rsidRPr="00115C98">
        <w:rPr>
          <w:rFonts w:ascii="Times New Roman" w:eastAsia="MS PGothic" w:hAnsi="Times New Roman" w:cs="Times New Roman"/>
          <w:color w:val="000000"/>
          <w:sz w:val="24"/>
          <w:szCs w:val="32"/>
          <w:lang w:val="it-IT" w:eastAsia="it-IT"/>
        </w:rPr>
        <w:t>. A very good match was observed.</w:t>
      </w:r>
      <w:r w:rsidR="007F15E4" w:rsidRPr="00115C98">
        <w:rPr>
          <w:rFonts w:ascii="Times New Roman" w:eastAsia="MS PGothic" w:hAnsi="Times New Roman" w:cs="Times New Roman"/>
          <w:color w:val="000000"/>
          <w:sz w:val="24"/>
          <w:szCs w:val="32"/>
          <w:lang w:val="it-IT" w:eastAsia="it-IT"/>
        </w:rPr>
        <w:t xml:space="preserve"> The calculated versus read values were plotted to see the linear regression</w:t>
      </w:r>
      <w:r w:rsidR="008C42F4" w:rsidRPr="00115C98">
        <w:rPr>
          <w:rFonts w:ascii="Times New Roman" w:eastAsia="MS PGothic" w:hAnsi="Times New Roman" w:cs="Times New Roman"/>
          <w:color w:val="000000"/>
          <w:sz w:val="24"/>
          <w:szCs w:val="32"/>
          <w:lang w:val="it-IT" w:eastAsia="it-IT"/>
        </w:rPr>
        <w:t>.</w:t>
      </w:r>
      <w:r w:rsidR="007F15E4" w:rsidRPr="00115C98">
        <w:rPr>
          <w:rFonts w:ascii="Times New Roman" w:eastAsia="MS PGothic" w:hAnsi="Times New Roman" w:cs="Times New Roman"/>
          <w:color w:val="000000"/>
          <w:sz w:val="24"/>
          <w:szCs w:val="32"/>
          <w:lang w:val="it-IT" w:eastAsia="it-IT"/>
        </w:rPr>
        <w:t xml:space="preserve"> </w:t>
      </w:r>
      <w:r w:rsidR="008C42F4" w:rsidRPr="00115C98">
        <w:rPr>
          <w:rFonts w:ascii="Times New Roman" w:eastAsia="MS PGothic" w:hAnsi="Times New Roman" w:cs="Times New Roman"/>
          <w:color w:val="000000"/>
          <w:sz w:val="24"/>
          <w:szCs w:val="32"/>
          <w:lang w:val="it-IT" w:eastAsia="it-IT"/>
        </w:rPr>
        <w:t>A</w:t>
      </w:r>
      <w:r w:rsidR="007F15E4" w:rsidRPr="00115C98">
        <w:rPr>
          <w:rFonts w:ascii="Times New Roman" w:eastAsia="MS PGothic" w:hAnsi="Times New Roman" w:cs="Times New Roman"/>
          <w:color w:val="000000"/>
          <w:sz w:val="24"/>
          <w:szCs w:val="32"/>
          <w:lang w:val="it-IT" w:eastAsia="it-IT"/>
        </w:rPr>
        <w:t>n R^2 value of 0.98 was calculated</w:t>
      </w:r>
      <w:r w:rsidR="008C42F4" w:rsidRPr="00115C98">
        <w:rPr>
          <w:rFonts w:ascii="Times New Roman" w:eastAsia="MS PGothic" w:hAnsi="Times New Roman" w:cs="Times New Roman"/>
          <w:color w:val="000000"/>
          <w:sz w:val="24"/>
          <w:szCs w:val="32"/>
          <w:lang w:val="it-IT" w:eastAsia="it-IT"/>
        </w:rPr>
        <w:t xml:space="preserve"> (</w:t>
      </w:r>
      <w:r w:rsidR="000F66FA">
        <w:rPr>
          <w:rFonts w:ascii="Times New Roman" w:eastAsia="MS PGothic" w:hAnsi="Times New Roman" w:cs="Times New Roman"/>
          <w:color w:val="000000"/>
          <w:sz w:val="24"/>
          <w:szCs w:val="32"/>
          <w:lang w:val="it-IT" w:eastAsia="it-IT"/>
        </w:rPr>
        <w:fldChar w:fldCharType="begin"/>
      </w:r>
      <w:r w:rsidR="000F66FA">
        <w:rPr>
          <w:rFonts w:ascii="Times New Roman" w:eastAsia="MS PGothic" w:hAnsi="Times New Roman" w:cs="Times New Roman"/>
          <w:color w:val="000000"/>
          <w:sz w:val="24"/>
          <w:szCs w:val="32"/>
          <w:lang w:val="it-IT" w:eastAsia="it-IT"/>
        </w:rPr>
        <w:instrText xml:space="preserve"> REF _Ref81594838 \h  \* MERGEFORMAT </w:instrText>
      </w:r>
      <w:r w:rsidR="000F66FA">
        <w:rPr>
          <w:rFonts w:ascii="Times New Roman" w:eastAsia="MS PGothic" w:hAnsi="Times New Roman" w:cs="Times New Roman"/>
          <w:color w:val="000000"/>
          <w:sz w:val="24"/>
          <w:szCs w:val="32"/>
          <w:lang w:val="it-IT" w:eastAsia="it-IT"/>
        </w:rPr>
      </w:r>
      <w:r w:rsidR="000F66FA">
        <w:rPr>
          <w:rFonts w:ascii="Times New Roman" w:eastAsia="MS PGothic" w:hAnsi="Times New Roman" w:cs="Times New Roman"/>
          <w:color w:val="000000"/>
          <w:sz w:val="24"/>
          <w:szCs w:val="32"/>
          <w:lang w:val="it-IT" w:eastAsia="it-IT"/>
        </w:rPr>
        <w:fldChar w:fldCharType="separate"/>
      </w:r>
      <w:r w:rsidR="000F66FA" w:rsidRPr="000F66FA">
        <w:rPr>
          <w:rFonts w:ascii="Times New Roman" w:eastAsia="MS PGothic" w:hAnsi="Times New Roman" w:cs="Times New Roman"/>
          <w:color w:val="000000"/>
          <w:sz w:val="24"/>
          <w:szCs w:val="32"/>
          <w:lang w:val="it-IT" w:eastAsia="it-IT"/>
        </w:rPr>
        <w:t>Figure 2</w:t>
      </w:r>
      <w:r w:rsidR="000F66FA">
        <w:rPr>
          <w:rFonts w:ascii="Times New Roman" w:eastAsia="MS PGothic" w:hAnsi="Times New Roman" w:cs="Times New Roman"/>
          <w:color w:val="000000"/>
          <w:sz w:val="24"/>
          <w:szCs w:val="32"/>
          <w:lang w:val="it-IT" w:eastAsia="it-IT"/>
        </w:rPr>
        <w:fldChar w:fldCharType="end"/>
      </w:r>
      <w:r w:rsidR="008C42F4" w:rsidRPr="00115C98">
        <w:rPr>
          <w:rFonts w:ascii="Times New Roman" w:eastAsia="MS PGothic" w:hAnsi="Times New Roman" w:cs="Times New Roman"/>
          <w:color w:val="000000"/>
          <w:sz w:val="24"/>
          <w:szCs w:val="32"/>
          <w:lang w:val="it-IT" w:eastAsia="it-IT"/>
        </w:rPr>
        <w:t>)</w:t>
      </w:r>
      <w:r w:rsidR="007F15E4" w:rsidRPr="00115C98">
        <w:rPr>
          <w:rFonts w:ascii="Times New Roman" w:eastAsia="MS PGothic" w:hAnsi="Times New Roman" w:cs="Times New Roman"/>
          <w:color w:val="000000"/>
          <w:sz w:val="24"/>
          <w:szCs w:val="32"/>
          <w:lang w:val="it-IT" w:eastAsia="it-IT"/>
        </w:rPr>
        <w:t>.</w:t>
      </w:r>
      <w:r w:rsidR="00013419" w:rsidRPr="00115C98">
        <w:rPr>
          <w:rFonts w:ascii="Times New Roman" w:eastAsia="MS PGothic" w:hAnsi="Times New Roman" w:cs="Times New Roman"/>
          <w:color w:val="000000"/>
          <w:sz w:val="24"/>
          <w:szCs w:val="32"/>
          <w:lang w:val="it-IT" w:eastAsia="it-IT"/>
        </w:rPr>
        <w:t xml:space="preserve"> This study validate</w:t>
      </w:r>
      <w:r w:rsidR="008C297F">
        <w:rPr>
          <w:rFonts w:ascii="Times New Roman" w:eastAsia="MS PGothic" w:hAnsi="Times New Roman" w:cs="Times New Roman"/>
          <w:color w:val="000000"/>
          <w:sz w:val="24"/>
          <w:szCs w:val="32"/>
          <w:lang w:val="it-IT" w:eastAsia="it-IT"/>
        </w:rPr>
        <w:t>d</w:t>
      </w:r>
      <w:r w:rsidR="00013419" w:rsidRPr="00115C98">
        <w:rPr>
          <w:rFonts w:ascii="Times New Roman" w:eastAsia="MS PGothic" w:hAnsi="Times New Roman" w:cs="Times New Roman"/>
          <w:color w:val="000000"/>
          <w:sz w:val="24"/>
          <w:szCs w:val="32"/>
          <w:lang w:val="it-IT" w:eastAsia="it-IT"/>
        </w:rPr>
        <w:t xml:space="preserve"> and confirm</w:t>
      </w:r>
      <w:r w:rsidR="008C297F">
        <w:rPr>
          <w:rFonts w:ascii="Times New Roman" w:eastAsia="MS PGothic" w:hAnsi="Times New Roman" w:cs="Times New Roman"/>
          <w:color w:val="000000"/>
          <w:sz w:val="24"/>
          <w:szCs w:val="32"/>
          <w:lang w:val="it-IT" w:eastAsia="it-IT"/>
        </w:rPr>
        <w:t>ed</w:t>
      </w:r>
      <w:r w:rsidR="00013419" w:rsidRPr="00115C98">
        <w:rPr>
          <w:rFonts w:ascii="Times New Roman" w:eastAsia="MS PGothic" w:hAnsi="Times New Roman" w:cs="Times New Roman"/>
          <w:color w:val="000000"/>
          <w:sz w:val="24"/>
          <w:szCs w:val="32"/>
          <w:lang w:val="it-IT" w:eastAsia="it-IT"/>
        </w:rPr>
        <w:t xml:space="preserve"> the applicability of the mathematical correlations to calculate the gas compressibility factors. The practical and fast applicability of these equations facilitate engineers to make robust and easier calculations in the presence of big pressure data environment in reservoir and gas well test analysis.</w:t>
      </w:r>
    </w:p>
    <w:p w14:paraId="190B8586" w14:textId="6A0E358D" w:rsidR="00115C98" w:rsidRDefault="00115C98" w:rsidP="00013419">
      <w:pPr>
        <w:jc w:val="both"/>
        <w:rPr>
          <w:sz w:val="24"/>
          <w:szCs w:val="24"/>
        </w:rPr>
      </w:pPr>
    </w:p>
    <w:p w14:paraId="3E295430" w14:textId="65589302" w:rsidR="00115C98" w:rsidRPr="000F66FA" w:rsidRDefault="00115C98" w:rsidP="00013419">
      <w:pPr>
        <w:jc w:val="both"/>
        <w:rPr>
          <w:rFonts w:ascii="Times New Roman" w:hAnsi="Times New Roman" w:cs="Times New Roman"/>
          <w:b/>
          <w:bCs/>
          <w:sz w:val="24"/>
          <w:szCs w:val="24"/>
        </w:rPr>
      </w:pPr>
      <w:r w:rsidRPr="000F66FA">
        <w:rPr>
          <w:rFonts w:ascii="Times New Roman" w:hAnsi="Times New Roman" w:cs="Times New Roman"/>
          <w:b/>
          <w:bCs/>
          <w:sz w:val="24"/>
          <w:szCs w:val="24"/>
        </w:rPr>
        <w:t>Biography</w:t>
      </w:r>
    </w:p>
    <w:p w14:paraId="120C9BE1" w14:textId="21C97452" w:rsidR="00115C98" w:rsidRDefault="00115C98" w:rsidP="000F66FA">
      <w:pPr>
        <w:spacing w:after="0" w:line="240" w:lineRule="auto"/>
        <w:jc w:val="both"/>
        <w:rPr>
          <w:rFonts w:ascii="Times New Roman" w:eastAsia="Times New Roman" w:hAnsi="Times New Roman" w:cs="Times New Roman"/>
          <w:sz w:val="24"/>
          <w:szCs w:val="24"/>
          <w:lang w:val="it-IT" w:eastAsia="it-IT"/>
        </w:rPr>
      </w:pPr>
      <w:r w:rsidRPr="000F66FA">
        <w:rPr>
          <w:rFonts w:ascii="Times New Roman" w:eastAsia="Times New Roman" w:hAnsi="Times New Roman" w:cs="Times New Roman"/>
          <w:sz w:val="24"/>
          <w:szCs w:val="24"/>
          <w:lang w:val="it-IT" w:eastAsia="it-IT"/>
        </w:rPr>
        <w:t xml:space="preserve">Dr. Abdullah Gurkan Iscan holds BS, MS and PhD degrees in Petroleum and Natural Gas Engineering from Middle East Technical University, Ankara, Turkey. He worked in several international oil companies and academia. Before joining to Cyprus International University his last working place was Saudi Aramco Reservoir Management. Dr. Iscan has 16 refereed </w:t>
      </w:r>
      <w:r w:rsidR="000F66FA">
        <w:rPr>
          <w:rFonts w:ascii="Times New Roman" w:eastAsia="Times New Roman" w:hAnsi="Times New Roman" w:cs="Times New Roman"/>
          <w:sz w:val="24"/>
          <w:szCs w:val="24"/>
          <w:lang w:val="it-IT" w:eastAsia="it-IT"/>
        </w:rPr>
        <w:t>SCI</w:t>
      </w:r>
      <w:r w:rsidRPr="000F66FA">
        <w:rPr>
          <w:rFonts w:ascii="Times New Roman" w:eastAsia="Times New Roman" w:hAnsi="Times New Roman" w:cs="Times New Roman"/>
          <w:sz w:val="24"/>
          <w:szCs w:val="24"/>
          <w:lang w:val="it-IT" w:eastAsia="it-IT"/>
        </w:rPr>
        <w:t>-E journal papers and more than 250 citations.</w:t>
      </w:r>
    </w:p>
    <w:p w14:paraId="3BF74BDC" w14:textId="1926121D" w:rsidR="000F66FA" w:rsidRDefault="000F66FA" w:rsidP="000F66FA">
      <w:pPr>
        <w:spacing w:after="0" w:line="240" w:lineRule="auto"/>
        <w:jc w:val="both"/>
        <w:rPr>
          <w:rFonts w:ascii="Times New Roman" w:eastAsia="Times New Roman" w:hAnsi="Times New Roman" w:cs="Times New Roman"/>
          <w:sz w:val="24"/>
          <w:szCs w:val="24"/>
          <w:lang w:val="it-IT" w:eastAsia="it-IT"/>
        </w:rPr>
      </w:pPr>
    </w:p>
    <w:p w14:paraId="53B57075" w14:textId="290BD5B0" w:rsidR="00FC0CA2" w:rsidRPr="00FC0CA2" w:rsidRDefault="00FC0CA2" w:rsidP="00FC0CA2">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FC0CA2">
        <w:rPr>
          <w:rFonts w:ascii="Times New Roman" w:eastAsia="Times New Roman" w:hAnsi="Times New Roman" w:cs="Times New Roman"/>
          <w:b/>
          <w:sz w:val="24"/>
          <w:szCs w:val="24"/>
          <w:lang w:val="en-NZ" w:eastAsia="it-IT"/>
        </w:rPr>
        <w:lastRenderedPageBreak/>
        <w:t xml:space="preserve">Presenting author details </w:t>
      </w:r>
      <w:r w:rsidRPr="00FC0CA2">
        <w:rPr>
          <w:rFonts w:ascii="Times New Roman" w:eastAsia="Times New Roman" w:hAnsi="Times New Roman" w:cs="Times New Roman"/>
          <w:b/>
          <w:sz w:val="24"/>
          <w:szCs w:val="24"/>
          <w:lang w:val="en-NZ" w:eastAsia="it-IT"/>
        </w:rPr>
        <w:br/>
      </w:r>
      <w:r w:rsidRPr="00FC0CA2">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Abdullah Gurkan Iscan</w:t>
      </w:r>
      <w:r>
        <w:rPr>
          <w:rFonts w:ascii="Times New Roman" w:eastAsia="Times New Roman" w:hAnsi="Times New Roman" w:cs="Times New Roman"/>
          <w:sz w:val="24"/>
          <w:szCs w:val="24"/>
          <w:lang w:val="en-NZ" w:eastAsia="it-IT"/>
        </w:rPr>
        <w:tab/>
      </w:r>
      <w:r>
        <w:rPr>
          <w:rFonts w:ascii="Times New Roman" w:eastAsia="Times New Roman" w:hAnsi="Times New Roman" w:cs="Times New Roman"/>
          <w:sz w:val="24"/>
          <w:szCs w:val="24"/>
          <w:lang w:val="en-NZ" w:eastAsia="it-IT"/>
        </w:rPr>
        <w:tab/>
      </w:r>
      <w:r w:rsidRPr="00FC0CA2">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+905323533572</w:t>
      </w:r>
      <w:r w:rsidRPr="00FC0CA2">
        <w:rPr>
          <w:rFonts w:ascii="Times New Roman" w:eastAsia="Times New Roman" w:hAnsi="Times New Roman" w:cs="Times New Roman"/>
          <w:sz w:val="24"/>
          <w:szCs w:val="24"/>
          <w:lang w:val="en-NZ" w:eastAsia="it-IT"/>
        </w:rPr>
        <w:br/>
        <w:t>Twitter account:</w:t>
      </w:r>
      <w:r w:rsidRPr="00FC0CA2">
        <w:rPr>
          <w:rFonts w:ascii="Times New Roman" w:eastAsia="Times New Roman" w:hAnsi="Times New Roman" w:cs="Times New Roman"/>
          <w:sz w:val="24"/>
          <w:szCs w:val="24"/>
          <w:lang w:val="en-NZ" w:eastAsia="it-IT"/>
        </w:rPr>
        <w:br/>
        <w:t>Linked In account:</w:t>
      </w:r>
      <w:r w:rsidR="005C45A9" w:rsidRPr="005C45A9">
        <w:t xml:space="preserve"> </w:t>
      </w:r>
      <w:hyperlink r:id="rId6" w:history="1">
        <w:r w:rsidR="005C45A9" w:rsidRPr="005C45A9">
          <w:rPr>
            <w:color w:val="0000FF"/>
            <w:u w:val="single"/>
          </w:rPr>
          <w:t>Iscan Gurkan | LinkedIn</w:t>
        </w:r>
      </w:hyperlink>
    </w:p>
    <w:p w14:paraId="5A29E374" w14:textId="4A7AA95B" w:rsidR="007F15E4" w:rsidRPr="008E41DE" w:rsidRDefault="00FC0CA2" w:rsidP="008E41DE">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FC0CA2">
        <w:rPr>
          <w:rFonts w:ascii="Times New Roman" w:eastAsia="Times New Roman" w:hAnsi="Times New Roman" w:cs="Times New Roman"/>
          <w:sz w:val="24"/>
          <w:szCs w:val="24"/>
          <w:lang w:val="en-NZ" w:eastAsia="it-IT"/>
        </w:rPr>
        <w:t>Session name/ number:</w:t>
      </w:r>
      <w:r w:rsidRPr="00FC0CA2">
        <w:rPr>
          <w:rFonts w:ascii="Times New Roman" w:eastAsia="Times New Roman" w:hAnsi="Times New Roman" w:cs="Times New Roman"/>
          <w:sz w:val="24"/>
          <w:szCs w:val="24"/>
          <w:lang w:val="en-NZ" w:eastAsia="it-IT"/>
        </w:rPr>
        <w:br/>
        <w:t>Category: (</w:t>
      </w:r>
      <w:r w:rsidRPr="00FC0CA2">
        <w:rPr>
          <w:rFonts w:ascii="Times New Roman" w:eastAsia="Times New Roman" w:hAnsi="Times New Roman" w:cs="Times New Roman"/>
          <w:b/>
          <w:bCs/>
          <w:sz w:val="24"/>
          <w:szCs w:val="24"/>
          <w:lang w:val="en-NZ" w:eastAsia="it-IT"/>
        </w:rPr>
        <w:t>Oral presentation</w:t>
      </w:r>
      <w:r w:rsidRPr="00FC0CA2">
        <w:rPr>
          <w:rFonts w:ascii="Times New Roman" w:eastAsia="Times New Roman" w:hAnsi="Times New Roman" w:cs="Times New Roman"/>
          <w:sz w:val="24"/>
          <w:szCs w:val="24"/>
          <w:lang w:val="en-NZ" w:eastAsia="it-IT"/>
        </w:rPr>
        <w:t>)</w:t>
      </w:r>
    </w:p>
    <w:p w14:paraId="67F66625" w14:textId="77777777" w:rsidR="008C42F4" w:rsidRDefault="007F15E4" w:rsidP="008C42F4">
      <w:pPr>
        <w:keepNext/>
        <w:jc w:val="center"/>
      </w:pPr>
      <w:r>
        <w:rPr>
          <w:noProof/>
          <w:sz w:val="24"/>
          <w:szCs w:val="24"/>
        </w:rPr>
        <w:drawing>
          <wp:inline distT="0" distB="0" distL="0" distR="0" wp14:anchorId="41C63E3F" wp14:editId="2EF09B27">
            <wp:extent cx="4596765" cy="3068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96765" cy="3068955"/>
                    </a:xfrm>
                    <a:prstGeom prst="rect">
                      <a:avLst/>
                    </a:prstGeom>
                    <a:noFill/>
                  </pic:spPr>
                </pic:pic>
              </a:graphicData>
            </a:graphic>
          </wp:inline>
        </w:drawing>
      </w:r>
    </w:p>
    <w:p w14:paraId="7D11F0D1" w14:textId="44F0D913" w:rsidR="008C42F4" w:rsidRPr="000F66FA" w:rsidRDefault="008C42F4" w:rsidP="000F66FA">
      <w:pPr>
        <w:pStyle w:val="Caption"/>
        <w:jc w:val="center"/>
        <w:rPr>
          <w:b/>
          <w:bCs/>
          <w:color w:val="000000" w:themeColor="text1"/>
        </w:rPr>
      </w:pPr>
      <w:bookmarkStart w:id="0" w:name="_Ref81576312"/>
      <w:r w:rsidRPr="000F66FA">
        <w:rPr>
          <w:b/>
          <w:bCs/>
          <w:color w:val="000000" w:themeColor="text1"/>
        </w:rPr>
        <w:t xml:space="preserve">Figure </w:t>
      </w:r>
      <w:r w:rsidRPr="000F66FA">
        <w:rPr>
          <w:b/>
          <w:bCs/>
          <w:color w:val="000000" w:themeColor="text1"/>
        </w:rPr>
        <w:fldChar w:fldCharType="begin"/>
      </w:r>
      <w:r w:rsidRPr="000F66FA">
        <w:rPr>
          <w:b/>
          <w:bCs/>
          <w:color w:val="000000" w:themeColor="text1"/>
        </w:rPr>
        <w:instrText xml:space="preserve"> SEQ Figure \* ARABIC </w:instrText>
      </w:r>
      <w:r w:rsidRPr="000F66FA">
        <w:rPr>
          <w:b/>
          <w:bCs/>
          <w:color w:val="000000" w:themeColor="text1"/>
        </w:rPr>
        <w:fldChar w:fldCharType="separate"/>
      </w:r>
      <w:r w:rsidR="000F66FA" w:rsidRPr="000F66FA">
        <w:rPr>
          <w:b/>
          <w:bCs/>
          <w:noProof/>
          <w:color w:val="000000" w:themeColor="text1"/>
        </w:rPr>
        <w:t>1</w:t>
      </w:r>
      <w:r w:rsidRPr="000F66FA">
        <w:rPr>
          <w:b/>
          <w:bCs/>
          <w:color w:val="000000" w:themeColor="text1"/>
        </w:rPr>
        <w:fldChar w:fldCharType="end"/>
      </w:r>
      <w:bookmarkEnd w:id="0"/>
      <w:r w:rsidRPr="000F66FA">
        <w:rPr>
          <w:b/>
          <w:bCs/>
          <w:color w:val="000000" w:themeColor="text1"/>
        </w:rPr>
        <w:t xml:space="preserve"> Compressibility Factor vs Pseudo Reduced Pressure: Calculated and Manual</w:t>
      </w:r>
    </w:p>
    <w:p w14:paraId="0B0797C2" w14:textId="3D559F28" w:rsidR="000F66FA" w:rsidRPr="000F66FA" w:rsidRDefault="000F66FA" w:rsidP="000F66FA">
      <w:pPr>
        <w:rPr>
          <w:b/>
          <w:bCs/>
          <w:color w:val="000000" w:themeColor="text1"/>
        </w:rPr>
      </w:pPr>
    </w:p>
    <w:p w14:paraId="49A7EDF2" w14:textId="77777777" w:rsidR="000F66FA" w:rsidRDefault="000F66FA" w:rsidP="000F66FA">
      <w:pPr>
        <w:keepNext/>
        <w:jc w:val="center"/>
      </w:pPr>
      <w:r>
        <w:rPr>
          <w:noProof/>
        </w:rPr>
        <w:drawing>
          <wp:inline distT="0" distB="0" distL="0" distR="0" wp14:anchorId="2F00F431" wp14:editId="0EEDCD1A">
            <wp:extent cx="4572635" cy="274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1EA56590" w14:textId="5EBFE664" w:rsidR="00457A7E" w:rsidRDefault="000F66FA" w:rsidP="008E41DE">
      <w:pPr>
        <w:pStyle w:val="Caption"/>
        <w:jc w:val="center"/>
        <w:rPr>
          <w:b/>
          <w:bCs/>
          <w:color w:val="000000" w:themeColor="text1"/>
        </w:rPr>
      </w:pPr>
      <w:bookmarkStart w:id="1" w:name="_Ref81594838"/>
      <w:r w:rsidRPr="000F66FA">
        <w:rPr>
          <w:b/>
          <w:bCs/>
          <w:color w:val="000000" w:themeColor="text1"/>
        </w:rPr>
        <w:t xml:space="preserve">Figure </w:t>
      </w:r>
      <w:r w:rsidRPr="000F66FA">
        <w:rPr>
          <w:b/>
          <w:bCs/>
          <w:color w:val="000000" w:themeColor="text1"/>
        </w:rPr>
        <w:fldChar w:fldCharType="begin"/>
      </w:r>
      <w:r w:rsidRPr="000F66FA">
        <w:rPr>
          <w:b/>
          <w:bCs/>
          <w:color w:val="000000" w:themeColor="text1"/>
        </w:rPr>
        <w:instrText xml:space="preserve"> SEQ Figure \* ARABIC </w:instrText>
      </w:r>
      <w:r w:rsidRPr="000F66FA">
        <w:rPr>
          <w:b/>
          <w:bCs/>
          <w:color w:val="000000" w:themeColor="text1"/>
        </w:rPr>
        <w:fldChar w:fldCharType="separate"/>
      </w:r>
      <w:r w:rsidRPr="000F66FA">
        <w:rPr>
          <w:b/>
          <w:bCs/>
          <w:noProof/>
          <w:color w:val="000000" w:themeColor="text1"/>
        </w:rPr>
        <w:t>2</w:t>
      </w:r>
      <w:r w:rsidRPr="000F66FA">
        <w:rPr>
          <w:b/>
          <w:bCs/>
          <w:color w:val="000000" w:themeColor="text1"/>
        </w:rPr>
        <w:fldChar w:fldCharType="end"/>
      </w:r>
      <w:bookmarkEnd w:id="1"/>
      <w:r w:rsidRPr="000F66FA">
        <w:rPr>
          <w:b/>
          <w:bCs/>
          <w:color w:val="000000" w:themeColor="text1"/>
        </w:rPr>
        <w:t xml:space="preserve"> Compressibility factor Linear Relation( Calculated vs Manual)</w:t>
      </w:r>
    </w:p>
    <w:p w14:paraId="1639B0AA" w14:textId="77777777" w:rsidR="00457A7E" w:rsidRDefault="00457A7E" w:rsidP="000F66FA">
      <w:pPr>
        <w:rPr>
          <w:b/>
          <w:bCs/>
          <w:color w:val="000000" w:themeColor="text1"/>
        </w:rPr>
      </w:pPr>
    </w:p>
    <w:p w14:paraId="69B00F50" w14:textId="4A360A65" w:rsidR="006A4D2B" w:rsidRDefault="006A4D2B" w:rsidP="000F66FA">
      <w:pPr>
        <w:rPr>
          <w:b/>
          <w:bCs/>
          <w:color w:val="000000" w:themeColor="text1"/>
        </w:rPr>
      </w:pPr>
      <w:r>
        <w:rPr>
          <w:b/>
          <w:bCs/>
          <w:color w:val="000000" w:themeColor="text1"/>
        </w:rPr>
        <w:t>References</w:t>
      </w:r>
    </w:p>
    <w:p w14:paraId="07A42AE6" w14:textId="72BF9153" w:rsidR="00457A7E" w:rsidRPr="00457A7E" w:rsidRDefault="00457A7E" w:rsidP="00457A7E">
      <w:pPr>
        <w:numPr>
          <w:ilvl w:val="0"/>
          <w:numId w:val="1"/>
        </w:numPr>
        <w:shd w:val="clear" w:color="auto" w:fill="FFFFFF"/>
        <w:spacing w:before="100" w:beforeAutospacing="1" w:after="24" w:line="240" w:lineRule="auto"/>
        <w:rPr>
          <w:rFonts w:ascii="Arial" w:eastAsia="Times New Roman" w:hAnsi="Arial" w:cs="Arial"/>
          <w:color w:val="222222"/>
          <w:sz w:val="21"/>
          <w:szCs w:val="21"/>
        </w:rPr>
      </w:pPr>
      <w:r w:rsidRPr="00457A7E">
        <w:rPr>
          <w:rFonts w:ascii="Arial" w:eastAsia="Times New Roman" w:hAnsi="Arial" w:cs="Arial"/>
          <w:color w:val="222222"/>
          <w:sz w:val="21"/>
          <w:szCs w:val="21"/>
        </w:rPr>
        <w:t>Standing, M.B. and Katz, D.L. 1942. Density of Natural Gases. In Transactions of the American Institute of Mining and Metallurgical Engineers, No. 142, SPE-942140-G, 140–149. New York: American Institute of Mining and Metallurgical Engineers Inc.</w:t>
      </w:r>
    </w:p>
    <w:p w14:paraId="71B3770C" w14:textId="7A3AE3E1" w:rsidR="006A4D2B" w:rsidRPr="00457A7E" w:rsidRDefault="00457A7E" w:rsidP="00457A7E">
      <w:pPr>
        <w:numPr>
          <w:ilvl w:val="0"/>
          <w:numId w:val="1"/>
        </w:numPr>
        <w:shd w:val="clear" w:color="auto" w:fill="FFFFFF"/>
        <w:spacing w:before="100" w:beforeAutospacing="1" w:after="24" w:line="240" w:lineRule="auto"/>
        <w:rPr>
          <w:rFonts w:ascii="Arial" w:eastAsia="Times New Roman" w:hAnsi="Arial" w:cs="Arial"/>
          <w:color w:val="222222"/>
          <w:sz w:val="21"/>
          <w:szCs w:val="21"/>
        </w:rPr>
      </w:pPr>
      <w:proofErr w:type="spellStart"/>
      <w:r w:rsidRPr="00457A7E">
        <w:rPr>
          <w:rFonts w:ascii="Arial" w:eastAsia="Times New Roman" w:hAnsi="Arial" w:cs="Arial"/>
          <w:color w:val="222222"/>
          <w:sz w:val="21"/>
          <w:szCs w:val="21"/>
        </w:rPr>
        <w:t>Dranchuk</w:t>
      </w:r>
      <w:proofErr w:type="spellEnd"/>
      <w:r w:rsidRPr="00457A7E">
        <w:rPr>
          <w:rFonts w:ascii="Arial" w:eastAsia="Times New Roman" w:hAnsi="Arial" w:cs="Arial"/>
          <w:color w:val="222222"/>
          <w:sz w:val="21"/>
          <w:szCs w:val="21"/>
        </w:rPr>
        <w:t xml:space="preserve">, P.M., and H. Abou-Kassem. "Calculation of Z Factors For Natural Gases Using Equations of State." J Can Pet Technol 14 (1975): No Pagination Specified. </w:t>
      </w:r>
      <w:proofErr w:type="spellStart"/>
      <w:r w:rsidRPr="00457A7E">
        <w:rPr>
          <w:rFonts w:ascii="Arial" w:eastAsia="Times New Roman" w:hAnsi="Arial" w:cs="Arial"/>
          <w:color w:val="222222"/>
          <w:sz w:val="21"/>
          <w:szCs w:val="21"/>
        </w:rPr>
        <w:t>doi</w:t>
      </w:r>
      <w:proofErr w:type="spellEnd"/>
      <w:r w:rsidRPr="00457A7E">
        <w:rPr>
          <w:rFonts w:ascii="Arial" w:eastAsia="Times New Roman" w:hAnsi="Arial" w:cs="Arial"/>
          <w:color w:val="222222"/>
          <w:sz w:val="21"/>
          <w:szCs w:val="21"/>
        </w:rPr>
        <w:t>: </w:t>
      </w:r>
      <w:hyperlink r:id="rId9" w:tgtFrame="_blank" w:history="1">
        <w:r w:rsidRPr="00457A7E">
          <w:rPr>
            <w:rFonts w:ascii="Arial" w:eastAsia="Times New Roman" w:hAnsi="Arial" w:cs="Arial"/>
            <w:color w:val="222222"/>
            <w:sz w:val="21"/>
            <w:szCs w:val="21"/>
          </w:rPr>
          <w:t>https://doi.org/10.2118/75-03-03</w:t>
        </w:r>
      </w:hyperlink>
      <w:r w:rsidR="00620D32">
        <w:rPr>
          <w:rFonts w:ascii="Arial" w:eastAsia="Times New Roman" w:hAnsi="Arial" w:cs="Arial"/>
          <w:color w:val="222222"/>
          <w:sz w:val="21"/>
          <w:szCs w:val="21"/>
        </w:rPr>
        <w:t>.</w:t>
      </w:r>
    </w:p>
    <w:p w14:paraId="5F4A5E83" w14:textId="77777777" w:rsidR="00457A7E" w:rsidRPr="00457A7E" w:rsidRDefault="00457A7E" w:rsidP="00457A7E">
      <w:pPr>
        <w:ind w:left="360"/>
        <w:rPr>
          <w:b/>
          <w:bCs/>
          <w:color w:val="000000" w:themeColor="text1"/>
        </w:rPr>
      </w:pPr>
    </w:p>
    <w:p w14:paraId="388C7B80" w14:textId="006AB10D" w:rsidR="000F66FA" w:rsidRDefault="000F66FA" w:rsidP="000F66FA"/>
    <w:p w14:paraId="1816E125" w14:textId="40C7FC5E" w:rsidR="000F66FA" w:rsidRDefault="000F66FA" w:rsidP="000F66FA"/>
    <w:p w14:paraId="532982C5" w14:textId="7A8A8ED6" w:rsidR="000F66FA" w:rsidRDefault="000F66FA" w:rsidP="000F66FA"/>
    <w:p w14:paraId="3096AEB0" w14:textId="1FB87506" w:rsidR="000F66FA" w:rsidRDefault="000F66FA" w:rsidP="000F66FA"/>
    <w:p w14:paraId="026E2DEB" w14:textId="57E42F77" w:rsidR="000F66FA" w:rsidRDefault="000F66FA" w:rsidP="000F66FA"/>
    <w:p w14:paraId="67FDD0AE" w14:textId="0F3B9C00" w:rsidR="000F66FA" w:rsidRDefault="000F66FA" w:rsidP="000F66FA"/>
    <w:p w14:paraId="7CDC57FB" w14:textId="2C2829ED" w:rsidR="000F66FA" w:rsidRDefault="000F66FA" w:rsidP="000F66FA"/>
    <w:p w14:paraId="1BDD38C0" w14:textId="10D6D473" w:rsidR="000F66FA" w:rsidRDefault="000F66FA" w:rsidP="000F66FA"/>
    <w:p w14:paraId="1CA10A2F" w14:textId="69106EB6" w:rsidR="000F66FA" w:rsidRDefault="000F66FA" w:rsidP="000F66FA"/>
    <w:p w14:paraId="36741A74" w14:textId="1F27A1EB" w:rsidR="000F66FA" w:rsidRDefault="000F66FA" w:rsidP="000F66FA"/>
    <w:p w14:paraId="4E7B7CAD" w14:textId="726ADD8C" w:rsidR="000F66FA" w:rsidRDefault="000F66FA" w:rsidP="000F66FA"/>
    <w:p w14:paraId="08C248DC" w14:textId="2071E349" w:rsidR="000F66FA" w:rsidRDefault="000F66FA" w:rsidP="000F66FA"/>
    <w:p w14:paraId="4C29264F" w14:textId="61AF86C7" w:rsidR="000F66FA" w:rsidRDefault="000F66FA" w:rsidP="000F66FA"/>
    <w:p w14:paraId="25D27795" w14:textId="16424934" w:rsidR="000F66FA" w:rsidRDefault="000F66FA" w:rsidP="000F66FA"/>
    <w:p w14:paraId="07FEFA9A" w14:textId="5BE0ADF3" w:rsidR="000F66FA" w:rsidRDefault="000F66FA" w:rsidP="000F66FA"/>
    <w:p w14:paraId="557E3278" w14:textId="656314B6" w:rsidR="000F66FA" w:rsidRDefault="000F66FA" w:rsidP="000F66FA"/>
    <w:p w14:paraId="251E7245" w14:textId="1C1286FA" w:rsidR="000F66FA" w:rsidRDefault="000F66FA" w:rsidP="000F66FA"/>
    <w:p w14:paraId="0DD0EA5B" w14:textId="22BB6E1E" w:rsidR="000F66FA" w:rsidRDefault="000F66FA" w:rsidP="000F66FA"/>
    <w:p w14:paraId="0B7C2C33" w14:textId="35B855F4" w:rsidR="000F66FA" w:rsidRDefault="000F66FA" w:rsidP="000F66FA"/>
    <w:p w14:paraId="7BC638AB" w14:textId="7E78FFD0" w:rsidR="000F66FA" w:rsidRDefault="000F66FA" w:rsidP="000F66FA"/>
    <w:p w14:paraId="02FACCF8" w14:textId="77777777" w:rsidR="000F66FA" w:rsidRPr="000F66FA" w:rsidRDefault="000F66FA" w:rsidP="000F66FA"/>
    <w:sectPr w:rsidR="000F66FA" w:rsidRPr="000F6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9156F"/>
    <w:multiLevelType w:val="hybridMultilevel"/>
    <w:tmpl w:val="5E160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7031A4"/>
    <w:multiLevelType w:val="multilevel"/>
    <w:tmpl w:val="4CF81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BB"/>
    <w:rsid w:val="00013419"/>
    <w:rsid w:val="000F0727"/>
    <w:rsid w:val="000F66FA"/>
    <w:rsid w:val="00115C98"/>
    <w:rsid w:val="00196BBB"/>
    <w:rsid w:val="00232769"/>
    <w:rsid w:val="00333E2B"/>
    <w:rsid w:val="00457A7E"/>
    <w:rsid w:val="005C45A9"/>
    <w:rsid w:val="00620D32"/>
    <w:rsid w:val="00643DE7"/>
    <w:rsid w:val="006A4D2B"/>
    <w:rsid w:val="006B797E"/>
    <w:rsid w:val="00774B9B"/>
    <w:rsid w:val="007F15E4"/>
    <w:rsid w:val="00866AAB"/>
    <w:rsid w:val="008C297F"/>
    <w:rsid w:val="008C42F4"/>
    <w:rsid w:val="008E41DE"/>
    <w:rsid w:val="00943E99"/>
    <w:rsid w:val="00A66A48"/>
    <w:rsid w:val="00B50227"/>
    <w:rsid w:val="00B853AE"/>
    <w:rsid w:val="00CC1164"/>
    <w:rsid w:val="00D03F1B"/>
    <w:rsid w:val="00DE057C"/>
    <w:rsid w:val="00FC0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DFB93"/>
  <w15:chartTrackingRefBased/>
  <w15:docId w15:val="{661096D1-E28D-48E0-9226-991616EB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F15E4"/>
    <w:rPr>
      <w:color w:val="0563C1" w:themeColor="hyperlink"/>
      <w:u w:val="single"/>
    </w:rPr>
  </w:style>
  <w:style w:type="paragraph" w:customStyle="1" w:styleId="Els-Affiliation">
    <w:name w:val="Els-Affiliation"/>
    <w:next w:val="Normal"/>
    <w:rsid w:val="007F15E4"/>
    <w:pPr>
      <w:suppressAutoHyphens/>
      <w:spacing w:after="0" w:line="200" w:lineRule="exact"/>
      <w:jc w:val="center"/>
    </w:pPr>
    <w:rPr>
      <w:rFonts w:ascii="Times New Roman" w:eastAsia="SimSun" w:hAnsi="Times New Roman" w:cs="Times New Roman"/>
      <w:i/>
      <w:noProof/>
      <w:sz w:val="16"/>
      <w:szCs w:val="20"/>
      <w:lang w:eastAsia="tr-TR"/>
    </w:rPr>
  </w:style>
  <w:style w:type="paragraph" w:styleId="Caption">
    <w:name w:val="caption"/>
    <w:basedOn w:val="Normal"/>
    <w:next w:val="Normal"/>
    <w:uiPriority w:val="35"/>
    <w:unhideWhenUsed/>
    <w:qFormat/>
    <w:rsid w:val="008C42F4"/>
    <w:pPr>
      <w:spacing w:after="200" w:line="240" w:lineRule="auto"/>
    </w:pPr>
    <w:rPr>
      <w:i/>
      <w:iCs/>
      <w:color w:val="44546A" w:themeColor="text2"/>
      <w:sz w:val="18"/>
      <w:szCs w:val="18"/>
    </w:rPr>
  </w:style>
  <w:style w:type="paragraph" w:styleId="ListParagraph">
    <w:name w:val="List Paragraph"/>
    <w:basedOn w:val="Normal"/>
    <w:uiPriority w:val="34"/>
    <w:qFormat/>
    <w:rsid w:val="006A4D2B"/>
    <w:pPr>
      <w:ind w:left="720"/>
      <w:contextualSpacing/>
    </w:pPr>
  </w:style>
  <w:style w:type="character" w:customStyle="1" w:styleId="reference-text">
    <w:name w:val="reference-text"/>
    <w:basedOn w:val="DefaultParagraphFont"/>
    <w:rsid w:val="00457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05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nkedin.com/in/iscan-gurkan-882b2b2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2118/75-03-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90C7C-486E-450E-8D80-E306AB86B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3602</TotalTime>
  <Pages>3</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AGurkan Iscan</dc:creator>
  <cp:keywords/>
  <dc:description/>
  <cp:lastModifiedBy>AGurkan Iscan</cp:lastModifiedBy>
  <cp:revision>8</cp:revision>
  <dcterms:created xsi:type="dcterms:W3CDTF">2021-09-02T06:30:00Z</dcterms:created>
  <dcterms:modified xsi:type="dcterms:W3CDTF">2021-09-06T08:48:00Z</dcterms:modified>
</cp:coreProperties>
</file>