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1AC1" w:rsidRPr="009A1D11" w:rsidRDefault="00C31AC1" w:rsidP="00C31AC1">
      <w:pPr>
        <w:jc w:val="right"/>
        <w:rPr>
          <w:sz w:val="22"/>
          <w:szCs w:val="22"/>
          <w:lang w:val="en-GB"/>
        </w:rPr>
      </w:pPr>
      <w:r w:rsidRPr="009A1D11">
        <w:rPr>
          <w:sz w:val="22"/>
          <w:szCs w:val="22"/>
          <w:lang w:val="en-GB"/>
        </w:rPr>
        <w:t xml:space="preserve">                                                                                                                       </w:t>
      </w:r>
      <w:r>
        <w:rPr>
          <w:noProof/>
          <w:sz w:val="22"/>
          <w:szCs w:val="22"/>
          <w:lang w:val="ru-RU" w:eastAsia="ru-RU"/>
        </w:rPr>
        <w:drawing>
          <wp:inline distT="0" distB="0" distL="0" distR="0">
            <wp:extent cx="1057275" cy="1143000"/>
            <wp:effectExtent l="0" t="0" r="9525" b="0"/>
            <wp:docPr id="1" name="Рисунок 1" descr="D:\Users\richard\Desktop\Desktop\DOC PERSONNELS\Album cherie Loria\photo 9 mai 2016\14716344_1111511795592024_5075094851937243988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sers\richard\Desktop\Desktop\DOC PERSONNELS\Album cherie Loria\photo 9 mai 2016\14716344_1111511795592024_5075094851937243988_n.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57275" cy="1143000"/>
                    </a:xfrm>
                    <a:prstGeom prst="rect">
                      <a:avLst/>
                    </a:prstGeom>
                    <a:noFill/>
                    <a:ln>
                      <a:noFill/>
                    </a:ln>
                  </pic:spPr>
                </pic:pic>
              </a:graphicData>
            </a:graphic>
          </wp:inline>
        </w:drawing>
      </w:r>
    </w:p>
    <w:p w:rsidR="00C31AC1" w:rsidRDefault="00C31AC1" w:rsidP="00C31AC1">
      <w:pPr>
        <w:spacing w:before="240" w:after="240"/>
        <w:ind w:left="284"/>
        <w:jc w:val="center"/>
        <w:rPr>
          <w:lang w:val="en-US"/>
        </w:rPr>
      </w:pPr>
      <w:r w:rsidRPr="009A1D11">
        <w:rPr>
          <w:lang w:val="en-US"/>
        </w:rPr>
        <w:t>Implementation of Spinels (NiAl</w:t>
      </w:r>
      <w:r w:rsidRPr="009A1D11">
        <w:rPr>
          <w:vertAlign w:val="subscript"/>
          <w:lang w:val="en-US"/>
        </w:rPr>
        <w:t>2</w:t>
      </w:r>
      <w:r w:rsidRPr="009A1D11">
        <w:rPr>
          <w:lang w:val="en-US"/>
        </w:rPr>
        <w:t>O</w:t>
      </w:r>
      <w:r w:rsidRPr="009A1D11">
        <w:rPr>
          <w:vertAlign w:val="subscript"/>
          <w:lang w:val="en-US"/>
        </w:rPr>
        <w:t>4</w:t>
      </w:r>
      <w:r w:rsidRPr="009A1D11">
        <w:rPr>
          <w:lang w:val="en-US"/>
        </w:rPr>
        <w:t>, CoAl</w:t>
      </w:r>
      <w:r w:rsidRPr="009A1D11">
        <w:rPr>
          <w:vertAlign w:val="subscript"/>
          <w:lang w:val="en-US"/>
        </w:rPr>
        <w:t>2</w:t>
      </w:r>
      <w:r w:rsidRPr="009A1D11">
        <w:rPr>
          <w:lang w:val="en-US"/>
        </w:rPr>
        <w:t>O</w:t>
      </w:r>
      <w:r w:rsidRPr="009A1D11">
        <w:rPr>
          <w:vertAlign w:val="subscript"/>
          <w:lang w:val="en-US"/>
        </w:rPr>
        <w:t>4</w:t>
      </w:r>
      <w:r>
        <w:rPr>
          <w:lang w:val="en-US"/>
        </w:rPr>
        <w:t xml:space="preserve"> and Ni-Co</w:t>
      </w:r>
      <w:r w:rsidRPr="009A1D11">
        <w:rPr>
          <w:vertAlign w:val="subscript"/>
          <w:lang w:val="en-US"/>
        </w:rPr>
        <w:t>2</w:t>
      </w:r>
      <w:r w:rsidRPr="009A1D11">
        <w:rPr>
          <w:lang w:val="en-US"/>
        </w:rPr>
        <w:t>O</w:t>
      </w:r>
      <w:r>
        <w:rPr>
          <w:vertAlign w:val="subscript"/>
          <w:lang w:val="en-US"/>
        </w:rPr>
        <w:t>4</w:t>
      </w:r>
      <w:r>
        <w:rPr>
          <w:lang w:val="en-US"/>
        </w:rPr>
        <w:t>)</w:t>
      </w:r>
      <w:r w:rsidRPr="009A1D11">
        <w:rPr>
          <w:lang w:val="en-US"/>
        </w:rPr>
        <w:t xml:space="preserve"> as Emerging Catalysts for Upgrading of Extra Heavy Oil Including Hydrogen Production under Supercritical Water Conditions</w:t>
      </w:r>
      <w:bookmarkStart w:id="0" w:name="_GoBack"/>
      <w:bookmarkEnd w:id="0"/>
    </w:p>
    <w:p w:rsidR="00C31AC1" w:rsidRPr="00674C82" w:rsidRDefault="00C31AC1" w:rsidP="00C31AC1">
      <w:pPr>
        <w:ind w:left="284"/>
        <w:jc w:val="center"/>
        <w:rPr>
          <w:b/>
          <w:lang w:val="en-US"/>
        </w:rPr>
      </w:pPr>
      <w:r>
        <w:rPr>
          <w:rFonts w:eastAsia="MS PGothic" w:hAnsi="Arial"/>
          <w:color w:val="000000"/>
        </w:rPr>
        <w:br/>
      </w:r>
      <w:r>
        <w:rPr>
          <w:b/>
          <w:sz w:val="28"/>
          <w:szCs w:val="28"/>
        </w:rPr>
        <w:t xml:space="preserve">             </w:t>
      </w:r>
      <w:r>
        <w:rPr>
          <w:rFonts w:eastAsia="MS PGothic" w:hAnsi="Arial"/>
          <w:color w:val="000000"/>
        </w:rPr>
        <w:t>Name: Djimasbe Richard</w:t>
      </w:r>
    </w:p>
    <w:p w:rsidR="00C31AC1" w:rsidRDefault="00C31AC1" w:rsidP="00C31AC1">
      <w:pPr>
        <w:ind w:left="284"/>
        <w:jc w:val="center"/>
        <w:rPr>
          <w:iCs/>
          <w:lang w:val="en-US"/>
        </w:rPr>
      </w:pPr>
      <w:r w:rsidRPr="00EC54D9">
        <w:rPr>
          <w:iCs/>
          <w:lang w:val="en-US"/>
        </w:rPr>
        <w:t>Department of Petroleum Engineering, Kazan Federal University, Kazan 420008, Russia</w:t>
      </w:r>
    </w:p>
    <w:p w:rsidR="00C31AC1" w:rsidRPr="007D221B" w:rsidRDefault="00C31AC1" w:rsidP="00BE075D">
      <w:pPr>
        <w:jc w:val="both"/>
        <w:rPr>
          <w:rFonts w:eastAsia="MS PGothic"/>
          <w:b/>
          <w:color w:val="000000"/>
          <w:szCs w:val="32"/>
        </w:rPr>
      </w:pPr>
      <w:r>
        <w:rPr>
          <w:lang w:val="en-NZ"/>
        </w:rPr>
        <w:br/>
      </w:r>
      <w:r w:rsidR="00BE48AF" w:rsidRPr="00BE48AF">
        <w:rPr>
          <w:lang w:val="en-US"/>
        </w:rPr>
        <w:t>Spinel types catalysts were synthesized and employed in this work in order to consider its upgrading performance for extra heavy oil from the Taha oilfield (China) to produce light oil and mainly for gases p</w:t>
      </w:r>
      <w:r w:rsidR="00BE48AF">
        <w:rPr>
          <w:lang w:val="en-US"/>
        </w:rPr>
        <w:t>roduction (methane and hydrogen</w:t>
      </w:r>
      <w:r w:rsidR="00BE48AF" w:rsidRPr="00BE48AF">
        <w:rPr>
          <w:lang w:val="en-US"/>
        </w:rPr>
        <w:t>). The results of synthesis and that of XRD patterns and SEM showed that the following spinel types denoted CoAl</w:t>
      </w:r>
      <w:r w:rsidR="00BE48AF" w:rsidRPr="00BE48AF">
        <w:rPr>
          <w:vertAlign w:val="subscript"/>
          <w:lang w:val="en-US"/>
        </w:rPr>
        <w:t>2</w:t>
      </w:r>
      <w:r w:rsidR="00BE48AF" w:rsidRPr="00BE48AF">
        <w:rPr>
          <w:lang w:val="en-US"/>
        </w:rPr>
        <w:t>O</w:t>
      </w:r>
      <w:r w:rsidR="00BE48AF" w:rsidRPr="00BE48AF">
        <w:rPr>
          <w:vertAlign w:val="subscript"/>
          <w:lang w:val="en-US"/>
        </w:rPr>
        <w:t xml:space="preserve">4 </w:t>
      </w:r>
      <w:r w:rsidR="00BE48AF" w:rsidRPr="00BE48AF">
        <w:rPr>
          <w:lang w:val="en-US"/>
        </w:rPr>
        <w:t>(2); NiAl</w:t>
      </w:r>
      <w:r w:rsidR="00BE48AF" w:rsidRPr="00BE48AF">
        <w:rPr>
          <w:vertAlign w:val="subscript"/>
          <w:lang w:val="en-US"/>
        </w:rPr>
        <w:t>2</w:t>
      </w:r>
      <w:r w:rsidR="00BE48AF" w:rsidRPr="00BE48AF">
        <w:rPr>
          <w:lang w:val="en-US"/>
        </w:rPr>
        <w:t>O</w:t>
      </w:r>
      <w:r w:rsidR="00BE48AF" w:rsidRPr="00BE48AF">
        <w:rPr>
          <w:vertAlign w:val="subscript"/>
          <w:lang w:val="en-US"/>
        </w:rPr>
        <w:t>4</w:t>
      </w:r>
      <w:r w:rsidR="00BE48AF" w:rsidRPr="00BE48AF">
        <w:rPr>
          <w:lang w:val="en-US"/>
        </w:rPr>
        <w:t>(3); and Ni-Co</w:t>
      </w:r>
      <w:r w:rsidR="00BE48AF" w:rsidRPr="00BE48AF">
        <w:rPr>
          <w:vertAlign w:val="subscript"/>
          <w:lang w:val="en-US"/>
        </w:rPr>
        <w:t>2</w:t>
      </w:r>
      <w:r w:rsidR="00BE48AF" w:rsidRPr="00BE48AF">
        <w:rPr>
          <w:lang w:val="en-US"/>
        </w:rPr>
        <w:t>O</w:t>
      </w:r>
      <w:r w:rsidR="00BE48AF" w:rsidRPr="00BE48AF">
        <w:rPr>
          <w:vertAlign w:val="subscript"/>
          <w:lang w:val="en-US"/>
        </w:rPr>
        <w:t>4</w:t>
      </w:r>
      <w:r w:rsidR="00BE48AF" w:rsidRPr="00BE48AF">
        <w:rPr>
          <w:lang w:val="en-US"/>
        </w:rPr>
        <w:t xml:space="preserve"> (4) with an average particle size around 59.13 nm, and the Ni and Co composition in catalysts is 9.29% and 4.68%, respectively. The results of the product distribution showed smaller yield of upgraded oil of 58.83 % and higher yield of coke of 33.64 % were obtained using only the supercritical water (SCW). However, using catalysts CoAl</w:t>
      </w:r>
      <w:r w:rsidR="00BE48AF" w:rsidRPr="00BE48AF">
        <w:rPr>
          <w:vertAlign w:val="subscript"/>
          <w:lang w:val="en-US"/>
        </w:rPr>
        <w:t>2</w:t>
      </w:r>
      <w:r w:rsidR="00BE48AF" w:rsidRPr="00BE48AF">
        <w:rPr>
          <w:lang w:val="en-US"/>
        </w:rPr>
        <w:t>O</w:t>
      </w:r>
      <w:r w:rsidR="00BE48AF" w:rsidRPr="00BE48AF">
        <w:rPr>
          <w:vertAlign w:val="subscript"/>
          <w:lang w:val="en-US"/>
        </w:rPr>
        <w:t>4</w:t>
      </w:r>
      <w:r w:rsidR="00BE48AF" w:rsidRPr="00BE48AF">
        <w:rPr>
          <w:lang w:val="en-US"/>
        </w:rPr>
        <w:t xml:space="preserve"> and NiAl</w:t>
      </w:r>
      <w:r w:rsidR="00BE48AF" w:rsidRPr="00BE48AF">
        <w:rPr>
          <w:vertAlign w:val="subscript"/>
          <w:lang w:val="en-US"/>
        </w:rPr>
        <w:t>2</w:t>
      </w:r>
      <w:r w:rsidR="00BE48AF" w:rsidRPr="00BE48AF">
        <w:rPr>
          <w:lang w:val="en-US"/>
        </w:rPr>
        <w:t>O</w:t>
      </w:r>
      <w:r w:rsidR="00BE48AF" w:rsidRPr="00BE48AF">
        <w:rPr>
          <w:vertAlign w:val="subscript"/>
          <w:lang w:val="en-US"/>
        </w:rPr>
        <w:t>4</w:t>
      </w:r>
      <w:r w:rsidR="00BE48AF" w:rsidRPr="00BE48AF">
        <w:rPr>
          <w:lang w:val="en-US"/>
        </w:rPr>
        <w:t>, the upgraded oil yields reach 63.34% and 61.07%, respectively. Therefore, the use of alloys of metals (Ni and Co) in form of spinel Ni-Co</w:t>
      </w:r>
      <w:r w:rsidR="00BE48AF" w:rsidRPr="00BE48AF">
        <w:rPr>
          <w:vertAlign w:val="subscript"/>
          <w:lang w:val="en-US"/>
        </w:rPr>
        <w:t>2</w:t>
      </w:r>
      <w:r w:rsidR="00BE48AF" w:rsidRPr="00BE48AF">
        <w:rPr>
          <w:lang w:val="en-US"/>
        </w:rPr>
        <w:t>O</w:t>
      </w:r>
      <w:r w:rsidR="00BE48AF" w:rsidRPr="00BE48AF">
        <w:rPr>
          <w:vertAlign w:val="subscript"/>
          <w:lang w:val="en-US"/>
        </w:rPr>
        <w:t>4</w:t>
      </w:r>
      <w:r w:rsidR="00BE48AF" w:rsidRPr="00BE48AF">
        <w:rPr>
          <w:lang w:val="en-US"/>
        </w:rPr>
        <w:t xml:space="preserve">, a higher yield of 67.26 % of upgraded oil was obtained with smaller yield of coke of 22%, while the greater yields 13.00% of gases is obtained in the sample (3). The viscosity of crude oil of 230000 Pa*s at 60 oC decreased to the smaller value of 54.8 mPa*s at 25 </w:t>
      </w:r>
      <w:r w:rsidR="00BE48AF" w:rsidRPr="00BE48AF">
        <w:rPr>
          <w:vertAlign w:val="superscript"/>
          <w:lang w:val="en-US"/>
        </w:rPr>
        <w:t>o</w:t>
      </w:r>
      <w:r w:rsidR="00BE48AF" w:rsidRPr="00BE48AF">
        <w:rPr>
          <w:lang w:val="en-US"/>
        </w:rPr>
        <w:t>C. So, high conversion of asphaltenes was also observed in the sample (4), hence the decreased from 39.04 % to 1.79%. Additionally, 8.07% of hydrogen and 43.61% of methane were obtained in the gaseous product. Therefore, the alloys of Ni-Co</w:t>
      </w:r>
      <w:r w:rsidR="00BE48AF" w:rsidRPr="00BE48AF">
        <w:rPr>
          <w:vertAlign w:val="subscript"/>
          <w:lang w:val="en-US"/>
        </w:rPr>
        <w:t>2</w:t>
      </w:r>
      <w:r w:rsidR="00BE48AF" w:rsidRPr="00BE48AF">
        <w:rPr>
          <w:lang w:val="en-US"/>
        </w:rPr>
        <w:t>O</w:t>
      </w:r>
      <w:r w:rsidR="00BE48AF" w:rsidRPr="00BE48AF">
        <w:rPr>
          <w:vertAlign w:val="subscript"/>
          <w:lang w:val="en-US"/>
        </w:rPr>
        <w:t>4</w:t>
      </w:r>
      <w:r w:rsidR="00BE48AF" w:rsidRPr="00BE48AF">
        <w:rPr>
          <w:lang w:val="en-US"/>
        </w:rPr>
        <w:t xml:space="preserve"> catalyst with high synergetic perfo</w:t>
      </w:r>
      <w:r w:rsidR="00BE48AF">
        <w:rPr>
          <w:lang w:val="en-US"/>
        </w:rPr>
        <w:t>r</w:t>
      </w:r>
      <w:r w:rsidR="00BE48AF" w:rsidRPr="00BE48AF">
        <w:rPr>
          <w:lang w:val="en-US"/>
        </w:rPr>
        <w:t>mances demonstrate its possible use for hydrogen and methane production on the industry's scale.</w:t>
      </w:r>
    </w:p>
    <w:p w:rsidR="00C31AC1" w:rsidRDefault="00C31AC1" w:rsidP="00C31AC1">
      <w:pPr>
        <w:ind w:left="709" w:right="145"/>
        <w:jc w:val="both"/>
        <w:rPr>
          <w:lang w:val="en-US"/>
        </w:rPr>
      </w:pPr>
    </w:p>
    <w:p w:rsidR="00C31AC1" w:rsidRDefault="00C31AC1" w:rsidP="00BE48AF">
      <w:pPr>
        <w:jc w:val="center"/>
        <w:rPr>
          <w:lang w:val="en-US"/>
        </w:rPr>
      </w:pPr>
      <w:r>
        <w:rPr>
          <w:noProof/>
          <w:lang w:val="ru-RU" w:eastAsia="ru-RU"/>
        </w:rPr>
        <w:drawing>
          <wp:inline distT="0" distB="0" distL="0" distR="0">
            <wp:extent cx="4628251" cy="2695575"/>
            <wp:effectExtent l="0" t="0" r="1270" b="0"/>
            <wp:docPr id="3" name="Рисунок 3" descr="C:\Users\Lenovo\Desktop\Article Tomography study\Безымянный.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Lenovo\Desktop\Article Tomography study\Безымянный.png"/>
                    <pic:cNvPicPr>
                      <a:picLocks noChangeAspect="1" noChangeArrowheads="1"/>
                    </pic:cNvPicPr>
                  </pic:nvPicPr>
                  <pic:blipFill>
                    <a:blip r:embed="rId6">
                      <a:extLst>
                        <a:ext uri="{28A0092B-C50C-407E-A947-70E740481C1C}">
                          <a14:useLocalDpi xmlns:a14="http://schemas.microsoft.com/office/drawing/2010/main" val="0"/>
                        </a:ext>
                      </a:extLst>
                    </a:blip>
                    <a:srcRect t="1639" r="56723" b="23828"/>
                    <a:stretch>
                      <a:fillRect/>
                    </a:stretch>
                  </pic:blipFill>
                  <pic:spPr bwMode="auto">
                    <a:xfrm>
                      <a:off x="0" y="0"/>
                      <a:ext cx="4631572" cy="2697509"/>
                    </a:xfrm>
                    <a:prstGeom prst="rect">
                      <a:avLst/>
                    </a:prstGeom>
                    <a:noFill/>
                    <a:ln>
                      <a:noFill/>
                    </a:ln>
                  </pic:spPr>
                </pic:pic>
              </a:graphicData>
            </a:graphic>
          </wp:inline>
        </w:drawing>
      </w:r>
    </w:p>
    <w:p w:rsidR="00265C14" w:rsidRPr="004C1796" w:rsidRDefault="00265C14" w:rsidP="00265C14">
      <w:pPr>
        <w:tabs>
          <w:tab w:val="left" w:pos="6555"/>
        </w:tabs>
        <w:jc w:val="center"/>
        <w:rPr>
          <w:lang w:val="en-US"/>
        </w:rPr>
      </w:pPr>
      <w:r>
        <w:rPr>
          <w:b/>
          <w:lang w:val="en-US"/>
        </w:rPr>
        <w:t xml:space="preserve">Fig </w:t>
      </w:r>
      <w:r w:rsidR="009D160A">
        <w:rPr>
          <w:b/>
          <w:lang w:val="en-US"/>
        </w:rPr>
        <w:t>1</w:t>
      </w:r>
      <w:r w:rsidRPr="00974807">
        <w:rPr>
          <w:b/>
          <w:lang w:val="en-US"/>
        </w:rPr>
        <w:t>.</w:t>
      </w:r>
      <w:r w:rsidRPr="00974807">
        <w:rPr>
          <w:lang w:val="en-US"/>
        </w:rPr>
        <w:t xml:space="preserve"> </w:t>
      </w:r>
      <w:r w:rsidRPr="00974807">
        <w:rPr>
          <w:color w:val="0D0D0D" w:themeColor="text1" w:themeTint="F2"/>
          <w:lang w:val="en-US"/>
        </w:rPr>
        <w:t xml:space="preserve">XRD patterns </w:t>
      </w:r>
      <w:r w:rsidRPr="00974807">
        <w:rPr>
          <w:lang w:val="en-US"/>
        </w:rPr>
        <w:t>of</w:t>
      </w:r>
      <w:r>
        <w:rPr>
          <w:lang w:val="en-US"/>
        </w:rPr>
        <w:t xml:space="preserve"> fresh</w:t>
      </w:r>
      <w:r w:rsidRPr="00974807">
        <w:rPr>
          <w:lang w:val="en-US"/>
        </w:rPr>
        <w:t xml:space="preserve"> </w:t>
      </w:r>
      <w:r>
        <w:rPr>
          <w:lang w:val="en-US"/>
        </w:rPr>
        <w:t xml:space="preserve">spinels </w:t>
      </w:r>
      <w:r w:rsidRPr="00974807">
        <w:rPr>
          <w:lang w:val="en-US"/>
        </w:rPr>
        <w:t>catalyst</w:t>
      </w:r>
      <w:r>
        <w:rPr>
          <w:lang w:val="en-US"/>
        </w:rPr>
        <w:t>s.</w:t>
      </w:r>
      <w:r w:rsidRPr="00974807">
        <w:rPr>
          <w:lang w:val="en-US"/>
        </w:rPr>
        <w:t xml:space="preserve"> </w:t>
      </w:r>
    </w:p>
    <w:p w:rsidR="00C31AC1" w:rsidRDefault="00C31AC1" w:rsidP="00C31AC1">
      <w:pPr>
        <w:rPr>
          <w:lang w:val="en-US"/>
        </w:rPr>
      </w:pPr>
    </w:p>
    <w:p w:rsidR="00C31AC1" w:rsidRDefault="00C31AC1" w:rsidP="00C31AC1">
      <w:pPr>
        <w:pStyle w:val="a5"/>
        <w:spacing w:line="480" w:lineRule="auto"/>
        <w:ind w:left="284"/>
        <w:rPr>
          <w:rFonts w:ascii="Cambria Math"/>
          <w:sz w:val="26"/>
          <w:lang w:val="en-US" w:eastAsia="en-US"/>
        </w:rPr>
      </w:pPr>
      <w:r>
        <w:rPr>
          <w:rFonts w:ascii="Cambria Math"/>
          <w:noProof/>
          <w:sz w:val="26"/>
          <w:lang w:val="ru-RU" w:eastAsia="ru-RU" w:bidi="ar-SA"/>
        </w:rPr>
        <w:lastRenderedPageBreak/>
        <w:drawing>
          <wp:inline distT="0" distB="0" distL="0" distR="0">
            <wp:extent cx="3695700" cy="2390775"/>
            <wp:effectExtent l="0" t="0" r="0" b="9525"/>
            <wp:docPr id="2" name="Рисунок 2" descr="C:\Users\Lenovo\Desktop\Catalyst Ni-Co\Dubai.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Lenovo\Desktop\Catalyst Ni-Co\Dubai.tif"/>
                    <pic:cNvPicPr>
                      <a:picLocks noChangeAspect="1" noChangeArrowheads="1"/>
                    </pic:cNvPicPr>
                  </pic:nvPicPr>
                  <pic:blipFill>
                    <a:blip r:embed="rId7" cstate="print">
                      <a:extLst>
                        <a:ext uri="{28A0092B-C50C-407E-A947-70E740481C1C}">
                          <a14:useLocalDpi xmlns:a14="http://schemas.microsoft.com/office/drawing/2010/main" val="0"/>
                        </a:ext>
                      </a:extLst>
                    </a:blip>
                    <a:srcRect l="3375" t="8540" r="8861" b="5234"/>
                    <a:stretch>
                      <a:fillRect/>
                    </a:stretch>
                  </pic:blipFill>
                  <pic:spPr bwMode="auto">
                    <a:xfrm>
                      <a:off x="0" y="0"/>
                      <a:ext cx="3695700" cy="2390775"/>
                    </a:xfrm>
                    <a:prstGeom prst="rect">
                      <a:avLst/>
                    </a:prstGeom>
                    <a:noFill/>
                    <a:ln>
                      <a:noFill/>
                    </a:ln>
                  </pic:spPr>
                </pic:pic>
              </a:graphicData>
            </a:graphic>
          </wp:inline>
        </w:drawing>
      </w:r>
      <w:r>
        <w:rPr>
          <w:rFonts w:ascii="Cambria Math"/>
          <w:sz w:val="26"/>
          <w:lang w:val="en-US" w:eastAsia="en-US"/>
        </w:rPr>
        <w:t xml:space="preserve">  </w:t>
      </w:r>
      <w:r>
        <w:rPr>
          <w:noProof/>
          <w:lang w:val="ru-RU" w:eastAsia="ru-RU" w:bidi="ar-SA"/>
        </w:rPr>
        <w:drawing>
          <wp:inline distT="0" distB="0" distL="0" distR="0">
            <wp:extent cx="3695700" cy="2533650"/>
            <wp:effectExtent l="0" t="0" r="0" b="0"/>
            <wp:docPr id="5" name="Рисунок 5" descr="C:\Users\Lenovo\Desktop\Catalyst Ni-Co\Gases.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enovo\Desktop\Catalyst Ni-Co\Gases.tif"/>
                    <pic:cNvPicPr>
                      <a:picLocks noChangeAspect="1" noChangeArrowheads="1"/>
                    </pic:cNvPicPr>
                  </pic:nvPicPr>
                  <pic:blipFill>
                    <a:blip r:embed="rId8" cstate="print">
                      <a:extLst>
                        <a:ext uri="{28A0092B-C50C-407E-A947-70E740481C1C}">
                          <a14:useLocalDpi xmlns:a14="http://schemas.microsoft.com/office/drawing/2010/main" val="0"/>
                        </a:ext>
                      </a:extLst>
                    </a:blip>
                    <a:srcRect l="1721" t="3821" r="10500" b="8315"/>
                    <a:stretch>
                      <a:fillRect/>
                    </a:stretch>
                  </pic:blipFill>
                  <pic:spPr bwMode="auto">
                    <a:xfrm>
                      <a:off x="0" y="0"/>
                      <a:ext cx="3695700" cy="2533650"/>
                    </a:xfrm>
                    <a:prstGeom prst="rect">
                      <a:avLst/>
                    </a:prstGeom>
                    <a:noFill/>
                    <a:ln>
                      <a:noFill/>
                    </a:ln>
                  </pic:spPr>
                </pic:pic>
              </a:graphicData>
            </a:graphic>
          </wp:inline>
        </w:drawing>
      </w:r>
    </w:p>
    <w:p w:rsidR="00937E2A" w:rsidRPr="00937E2A" w:rsidRDefault="00937E2A" w:rsidP="00BE075D">
      <w:pPr>
        <w:pStyle w:val="a5"/>
        <w:rPr>
          <w:rFonts w:cs="Times New Roman"/>
          <w:lang w:val="en-US" w:eastAsia="en-US"/>
        </w:rPr>
      </w:pPr>
      <w:r w:rsidRPr="00937E2A">
        <w:rPr>
          <w:rFonts w:cs="Times New Roman"/>
          <w:lang w:val="en-US" w:eastAsia="en-US"/>
        </w:rPr>
        <w:t>Table 1</w:t>
      </w:r>
      <w:r w:rsidR="00BE075D">
        <w:rPr>
          <w:rFonts w:cs="Times New Roman"/>
          <w:lang w:val="en-US" w:eastAsia="en-US"/>
        </w:rPr>
        <w:t>. Results of SARA fraction of crude and upgraded oil under SCW conditions.</w:t>
      </w:r>
    </w:p>
    <w:tbl>
      <w:tblPr>
        <w:tblStyle w:val="a7"/>
        <w:tblW w:w="0" w:type="auto"/>
        <w:jc w:val="center"/>
        <w:tblInd w:w="250" w:type="dxa"/>
        <w:tblBorders>
          <w:top w:val="single" w:sz="8" w:space="0" w:color="auto"/>
          <w:left w:val="none" w:sz="0" w:space="0" w:color="auto"/>
          <w:bottom w:val="single" w:sz="8"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1984"/>
        <w:gridCol w:w="1559"/>
        <w:gridCol w:w="1701"/>
        <w:gridCol w:w="1490"/>
        <w:gridCol w:w="1772"/>
      </w:tblGrid>
      <w:tr w:rsidR="004A0A5E" w:rsidRPr="00075462" w:rsidTr="00937E2A">
        <w:trPr>
          <w:trHeight w:val="187"/>
          <w:jc w:val="center"/>
        </w:trPr>
        <w:tc>
          <w:tcPr>
            <w:tcW w:w="426" w:type="dxa"/>
            <w:vAlign w:val="center"/>
          </w:tcPr>
          <w:p w:rsidR="006A6A9E" w:rsidRPr="00FD4C88" w:rsidRDefault="006A6A9E" w:rsidP="00803F38">
            <w:pPr>
              <w:jc w:val="both"/>
            </w:pPr>
            <w:r w:rsidRPr="00FD4C88">
              <w:t>№</w:t>
            </w:r>
          </w:p>
        </w:tc>
        <w:tc>
          <w:tcPr>
            <w:tcW w:w="1984" w:type="dxa"/>
            <w:vAlign w:val="center"/>
          </w:tcPr>
          <w:p w:rsidR="006A6A9E" w:rsidRPr="00FD4C88" w:rsidRDefault="006A6A9E" w:rsidP="00803F38">
            <w:pPr>
              <w:jc w:val="both"/>
              <w:rPr>
                <w:lang w:val="en-US"/>
              </w:rPr>
            </w:pPr>
            <w:r w:rsidRPr="00FD4C88">
              <w:rPr>
                <w:lang w:val="en-US"/>
              </w:rPr>
              <w:t>Samples</w:t>
            </w:r>
          </w:p>
        </w:tc>
        <w:tc>
          <w:tcPr>
            <w:tcW w:w="1559" w:type="dxa"/>
            <w:tcBorders>
              <w:bottom w:val="single" w:sz="8" w:space="0" w:color="auto"/>
            </w:tcBorders>
            <w:vAlign w:val="center"/>
          </w:tcPr>
          <w:p w:rsidR="006A6A9E" w:rsidRPr="00FD4C88" w:rsidRDefault="006A6A9E" w:rsidP="00803F38">
            <w:pPr>
              <w:jc w:val="center"/>
              <w:rPr>
                <w:lang w:val="en-US"/>
              </w:rPr>
            </w:pPr>
            <w:r w:rsidRPr="00FD4C88">
              <w:rPr>
                <w:lang w:val="en-US"/>
              </w:rPr>
              <w:t>Saturate,</w:t>
            </w:r>
            <w:r w:rsidR="004A0A5E">
              <w:rPr>
                <w:lang w:val="en-US"/>
              </w:rPr>
              <w:t xml:space="preserve"> %</w:t>
            </w:r>
          </w:p>
        </w:tc>
        <w:tc>
          <w:tcPr>
            <w:tcW w:w="1701" w:type="dxa"/>
            <w:tcBorders>
              <w:bottom w:val="single" w:sz="8" w:space="0" w:color="auto"/>
            </w:tcBorders>
            <w:vAlign w:val="center"/>
          </w:tcPr>
          <w:p w:rsidR="006A6A9E" w:rsidRPr="00FD4C88" w:rsidRDefault="006A6A9E" w:rsidP="00803F38">
            <w:pPr>
              <w:jc w:val="center"/>
              <w:rPr>
                <w:lang w:val="en-US"/>
              </w:rPr>
            </w:pPr>
            <w:r w:rsidRPr="00FD4C88">
              <w:rPr>
                <w:lang w:val="en-US"/>
              </w:rPr>
              <w:t>Aromatics,</w:t>
            </w:r>
            <w:r w:rsidR="004A0A5E">
              <w:rPr>
                <w:lang w:val="en-US"/>
              </w:rPr>
              <w:t>%</w:t>
            </w:r>
          </w:p>
        </w:tc>
        <w:tc>
          <w:tcPr>
            <w:tcW w:w="1490" w:type="dxa"/>
            <w:tcBorders>
              <w:bottom w:val="single" w:sz="8" w:space="0" w:color="auto"/>
            </w:tcBorders>
            <w:vAlign w:val="center"/>
          </w:tcPr>
          <w:p w:rsidR="006A6A9E" w:rsidRPr="00FD4C88" w:rsidRDefault="006A6A9E" w:rsidP="00803F38">
            <w:pPr>
              <w:jc w:val="center"/>
              <w:rPr>
                <w:lang w:val="en-US"/>
              </w:rPr>
            </w:pPr>
            <w:r w:rsidRPr="00FD4C88">
              <w:rPr>
                <w:lang w:val="en-US"/>
              </w:rPr>
              <w:t>Resins,</w:t>
            </w:r>
            <w:r w:rsidR="004A0A5E">
              <w:rPr>
                <w:lang w:val="en-US"/>
              </w:rPr>
              <w:t>%</w:t>
            </w:r>
          </w:p>
        </w:tc>
        <w:tc>
          <w:tcPr>
            <w:tcW w:w="1772" w:type="dxa"/>
            <w:tcBorders>
              <w:bottom w:val="single" w:sz="8" w:space="0" w:color="auto"/>
            </w:tcBorders>
            <w:vAlign w:val="center"/>
          </w:tcPr>
          <w:p w:rsidR="006A6A9E" w:rsidRPr="00FD4C88" w:rsidRDefault="006A6A9E" w:rsidP="00803F38">
            <w:pPr>
              <w:jc w:val="center"/>
            </w:pPr>
            <w:r w:rsidRPr="00FD4C88">
              <w:rPr>
                <w:lang w:val="en-US"/>
              </w:rPr>
              <w:t>Asphaltenes,</w:t>
            </w:r>
            <w:r w:rsidR="004A0A5E">
              <w:rPr>
                <w:lang w:val="en-US"/>
              </w:rPr>
              <w:t>%</w:t>
            </w:r>
          </w:p>
        </w:tc>
      </w:tr>
      <w:tr w:rsidR="004A0A5E" w:rsidRPr="00075462" w:rsidTr="00937E2A">
        <w:trPr>
          <w:trHeight w:val="327"/>
          <w:jc w:val="center"/>
        </w:trPr>
        <w:tc>
          <w:tcPr>
            <w:tcW w:w="426" w:type="dxa"/>
            <w:vAlign w:val="center"/>
          </w:tcPr>
          <w:p w:rsidR="006A6A9E" w:rsidRPr="00FD4C88" w:rsidRDefault="006A6A9E" w:rsidP="00803F38">
            <w:pPr>
              <w:jc w:val="both"/>
            </w:pPr>
            <w:r w:rsidRPr="00FD4C88">
              <w:t>1</w:t>
            </w:r>
          </w:p>
        </w:tc>
        <w:tc>
          <w:tcPr>
            <w:tcW w:w="1984" w:type="dxa"/>
            <w:vAlign w:val="center"/>
          </w:tcPr>
          <w:p w:rsidR="006A6A9E" w:rsidRPr="00FD4C88" w:rsidRDefault="006A6A9E" w:rsidP="00803F38">
            <w:pPr>
              <w:jc w:val="both"/>
              <w:rPr>
                <w:lang w:val="en-US"/>
              </w:rPr>
            </w:pPr>
            <w:r>
              <w:rPr>
                <w:lang w:val="en-US"/>
              </w:rPr>
              <w:t>Crude</w:t>
            </w:r>
            <w:r w:rsidRPr="00FD4C88">
              <w:t xml:space="preserve"> </w:t>
            </w:r>
            <w:r w:rsidRPr="00FD4C88">
              <w:rPr>
                <w:lang w:val="en-US"/>
              </w:rPr>
              <w:t xml:space="preserve">taha oil </w:t>
            </w:r>
          </w:p>
        </w:tc>
        <w:tc>
          <w:tcPr>
            <w:tcW w:w="1559" w:type="dxa"/>
            <w:vAlign w:val="center"/>
          </w:tcPr>
          <w:p w:rsidR="006A6A9E" w:rsidRPr="00FD4C88" w:rsidRDefault="006A6A9E" w:rsidP="00803F38">
            <w:pPr>
              <w:jc w:val="center"/>
              <w:rPr>
                <w:b/>
                <w:lang w:val="en-CA" w:eastAsia="zh-CN"/>
              </w:rPr>
            </w:pPr>
            <w:r w:rsidRPr="00FD4C88">
              <w:rPr>
                <w:rFonts w:eastAsia="DengXian"/>
                <w:lang w:eastAsia="zh-CN"/>
              </w:rPr>
              <w:t>12.35</w:t>
            </w:r>
          </w:p>
        </w:tc>
        <w:tc>
          <w:tcPr>
            <w:tcW w:w="1701" w:type="dxa"/>
            <w:vAlign w:val="center"/>
          </w:tcPr>
          <w:p w:rsidR="006A6A9E" w:rsidRPr="00FD4C88" w:rsidRDefault="006A6A9E" w:rsidP="00803F38">
            <w:pPr>
              <w:jc w:val="center"/>
              <w:rPr>
                <w:b/>
                <w:lang w:val="en-CA" w:eastAsia="zh-CN"/>
              </w:rPr>
            </w:pPr>
            <w:r w:rsidRPr="00FD4C88">
              <w:rPr>
                <w:rFonts w:eastAsia="DengXian"/>
                <w:lang w:eastAsia="zh-CN"/>
              </w:rPr>
              <w:t>11.87</w:t>
            </w:r>
          </w:p>
        </w:tc>
        <w:tc>
          <w:tcPr>
            <w:tcW w:w="1490" w:type="dxa"/>
            <w:vAlign w:val="center"/>
          </w:tcPr>
          <w:p w:rsidR="006A6A9E" w:rsidRPr="00FD4C88" w:rsidRDefault="006A6A9E" w:rsidP="00803F38">
            <w:pPr>
              <w:jc w:val="center"/>
              <w:rPr>
                <w:b/>
                <w:lang w:val="en-CA" w:eastAsia="zh-CN"/>
              </w:rPr>
            </w:pPr>
            <w:r w:rsidRPr="00FD4C88">
              <w:rPr>
                <w:rFonts w:eastAsia="DengXian"/>
                <w:lang w:eastAsia="zh-CN"/>
              </w:rPr>
              <w:t>36.74</w:t>
            </w:r>
          </w:p>
        </w:tc>
        <w:tc>
          <w:tcPr>
            <w:tcW w:w="1772" w:type="dxa"/>
            <w:vAlign w:val="center"/>
          </w:tcPr>
          <w:p w:rsidR="006A6A9E" w:rsidRPr="00FD4C88" w:rsidRDefault="006A6A9E" w:rsidP="00803F38">
            <w:pPr>
              <w:jc w:val="center"/>
              <w:rPr>
                <w:b/>
                <w:lang w:eastAsia="zh-CN"/>
              </w:rPr>
            </w:pPr>
            <w:r w:rsidRPr="00FD4C88">
              <w:rPr>
                <w:rFonts w:eastAsia="DengXian"/>
                <w:lang w:eastAsia="zh-CN"/>
              </w:rPr>
              <w:t>39.04</w:t>
            </w:r>
          </w:p>
        </w:tc>
      </w:tr>
      <w:tr w:rsidR="004A0A5E" w:rsidRPr="0099692C" w:rsidTr="00937E2A">
        <w:trPr>
          <w:trHeight w:val="64"/>
          <w:jc w:val="center"/>
        </w:trPr>
        <w:tc>
          <w:tcPr>
            <w:tcW w:w="426" w:type="dxa"/>
            <w:vAlign w:val="center"/>
          </w:tcPr>
          <w:p w:rsidR="006A6A9E" w:rsidRPr="00FD4C88" w:rsidRDefault="006A6A9E" w:rsidP="00803F38">
            <w:pPr>
              <w:jc w:val="both"/>
            </w:pPr>
            <w:r w:rsidRPr="00FD4C88">
              <w:t>3</w:t>
            </w:r>
          </w:p>
        </w:tc>
        <w:tc>
          <w:tcPr>
            <w:tcW w:w="1984" w:type="dxa"/>
            <w:vAlign w:val="center"/>
          </w:tcPr>
          <w:p w:rsidR="006A6A9E" w:rsidRPr="00FD4C88" w:rsidRDefault="006A6A9E" w:rsidP="00803F38">
            <w:pPr>
              <w:jc w:val="both"/>
              <w:rPr>
                <w:lang w:val="en-US"/>
              </w:rPr>
            </w:pPr>
            <w:r>
              <w:rPr>
                <w:lang w:val="en-US"/>
              </w:rPr>
              <w:t>Oil</w:t>
            </w:r>
            <w:r w:rsidRPr="00FD4C88">
              <w:rPr>
                <w:vertAlign w:val="subscript"/>
                <w:lang w:val="en-US"/>
              </w:rPr>
              <w:t xml:space="preserve"> </w:t>
            </w:r>
            <w:r w:rsidRPr="00FD4C88">
              <w:rPr>
                <w:lang w:val="en-US"/>
              </w:rPr>
              <w:t>+ SCW</w:t>
            </w:r>
          </w:p>
        </w:tc>
        <w:tc>
          <w:tcPr>
            <w:tcW w:w="1559" w:type="dxa"/>
            <w:vAlign w:val="center"/>
          </w:tcPr>
          <w:p w:rsidR="006A6A9E" w:rsidRPr="00FD4C88" w:rsidRDefault="007342D4" w:rsidP="007342D4">
            <w:pPr>
              <w:jc w:val="center"/>
              <w:rPr>
                <w:lang w:val="en-US"/>
              </w:rPr>
            </w:pPr>
            <w:r>
              <w:rPr>
                <w:lang w:val="en-US"/>
              </w:rPr>
              <w:t>73.74</w:t>
            </w:r>
          </w:p>
        </w:tc>
        <w:tc>
          <w:tcPr>
            <w:tcW w:w="1701" w:type="dxa"/>
            <w:vAlign w:val="center"/>
          </w:tcPr>
          <w:p w:rsidR="006A6A9E" w:rsidRPr="00FD4C88" w:rsidRDefault="007342D4" w:rsidP="007342D4">
            <w:pPr>
              <w:jc w:val="center"/>
              <w:rPr>
                <w:lang w:val="en-US"/>
              </w:rPr>
            </w:pPr>
            <w:r>
              <w:rPr>
                <w:lang w:val="en-US"/>
              </w:rPr>
              <w:t>3.68</w:t>
            </w:r>
          </w:p>
        </w:tc>
        <w:tc>
          <w:tcPr>
            <w:tcW w:w="1490" w:type="dxa"/>
            <w:vAlign w:val="center"/>
          </w:tcPr>
          <w:p w:rsidR="006A6A9E" w:rsidRPr="00FD4C88" w:rsidRDefault="007342D4" w:rsidP="007342D4">
            <w:pPr>
              <w:jc w:val="center"/>
              <w:rPr>
                <w:lang w:val="en-US"/>
              </w:rPr>
            </w:pPr>
            <w:r>
              <w:rPr>
                <w:lang w:val="en-US"/>
              </w:rPr>
              <w:t>22.13</w:t>
            </w:r>
          </w:p>
        </w:tc>
        <w:tc>
          <w:tcPr>
            <w:tcW w:w="1772" w:type="dxa"/>
            <w:vAlign w:val="center"/>
          </w:tcPr>
          <w:p w:rsidR="006A6A9E" w:rsidRPr="00FD4C88" w:rsidRDefault="007342D4" w:rsidP="007342D4">
            <w:pPr>
              <w:jc w:val="center"/>
              <w:rPr>
                <w:lang w:val="en-US"/>
              </w:rPr>
            </w:pPr>
            <w:r>
              <w:rPr>
                <w:lang w:val="en-US"/>
              </w:rPr>
              <w:t>0.43</w:t>
            </w:r>
          </w:p>
        </w:tc>
      </w:tr>
      <w:tr w:rsidR="004A0A5E" w:rsidRPr="00962DAF" w:rsidTr="00937E2A">
        <w:trPr>
          <w:trHeight w:val="64"/>
          <w:jc w:val="center"/>
        </w:trPr>
        <w:tc>
          <w:tcPr>
            <w:tcW w:w="426" w:type="dxa"/>
            <w:vAlign w:val="center"/>
          </w:tcPr>
          <w:p w:rsidR="006A6A9E" w:rsidRPr="00FD4C88" w:rsidRDefault="006A6A9E" w:rsidP="00803F38">
            <w:pPr>
              <w:jc w:val="both"/>
            </w:pPr>
            <w:r w:rsidRPr="00FD4C88">
              <w:t>4</w:t>
            </w:r>
          </w:p>
        </w:tc>
        <w:tc>
          <w:tcPr>
            <w:tcW w:w="1984" w:type="dxa"/>
            <w:vAlign w:val="center"/>
          </w:tcPr>
          <w:p w:rsidR="006A6A9E" w:rsidRPr="00FD4C88" w:rsidRDefault="006A6A9E" w:rsidP="00803F38">
            <w:pPr>
              <w:jc w:val="both"/>
              <w:rPr>
                <w:lang w:val="en-US"/>
              </w:rPr>
            </w:pPr>
            <w:r>
              <w:rPr>
                <w:lang w:val="en-US"/>
              </w:rPr>
              <w:t>Oil +</w:t>
            </w:r>
            <w:r w:rsidRPr="00FD4C88">
              <w:rPr>
                <w:lang w:val="en-US"/>
              </w:rPr>
              <w:t xml:space="preserve"> CoAl</w:t>
            </w:r>
            <w:r w:rsidRPr="00FD4C88">
              <w:rPr>
                <w:vertAlign w:val="subscript"/>
                <w:lang w:val="en-US"/>
              </w:rPr>
              <w:t>2</w:t>
            </w:r>
            <w:r w:rsidRPr="00FD4C88">
              <w:rPr>
                <w:lang w:val="en-US"/>
              </w:rPr>
              <w:t>O</w:t>
            </w:r>
            <w:r w:rsidRPr="00FD4C88">
              <w:rPr>
                <w:vertAlign w:val="subscript"/>
                <w:lang w:val="en-US"/>
              </w:rPr>
              <w:t>4</w:t>
            </w:r>
          </w:p>
        </w:tc>
        <w:tc>
          <w:tcPr>
            <w:tcW w:w="1559" w:type="dxa"/>
            <w:vAlign w:val="center"/>
          </w:tcPr>
          <w:p w:rsidR="006A6A9E" w:rsidRPr="00FD4C88" w:rsidRDefault="006A6A9E" w:rsidP="00803F38">
            <w:pPr>
              <w:jc w:val="center"/>
            </w:pPr>
            <w:r w:rsidRPr="00FD4C88">
              <w:t>63.17</w:t>
            </w:r>
          </w:p>
        </w:tc>
        <w:tc>
          <w:tcPr>
            <w:tcW w:w="1701" w:type="dxa"/>
            <w:vAlign w:val="center"/>
          </w:tcPr>
          <w:p w:rsidR="006A6A9E" w:rsidRPr="00FD4C88" w:rsidRDefault="006A6A9E" w:rsidP="00803F38">
            <w:pPr>
              <w:jc w:val="center"/>
            </w:pPr>
            <w:r w:rsidRPr="00FD4C88">
              <w:t>20.43</w:t>
            </w:r>
          </w:p>
        </w:tc>
        <w:tc>
          <w:tcPr>
            <w:tcW w:w="1490" w:type="dxa"/>
            <w:vAlign w:val="center"/>
          </w:tcPr>
          <w:p w:rsidR="006A6A9E" w:rsidRPr="00FD4C88" w:rsidRDefault="006A6A9E" w:rsidP="00803F38">
            <w:pPr>
              <w:jc w:val="center"/>
            </w:pPr>
            <w:r w:rsidRPr="00FD4C88">
              <w:t>14.15</w:t>
            </w:r>
          </w:p>
        </w:tc>
        <w:tc>
          <w:tcPr>
            <w:tcW w:w="1772" w:type="dxa"/>
            <w:vAlign w:val="center"/>
          </w:tcPr>
          <w:p w:rsidR="006A6A9E" w:rsidRPr="00FD4C88" w:rsidRDefault="006A6A9E" w:rsidP="00803F38">
            <w:pPr>
              <w:jc w:val="center"/>
            </w:pPr>
            <w:r w:rsidRPr="00FD4C88">
              <w:t>2.22</w:t>
            </w:r>
          </w:p>
        </w:tc>
      </w:tr>
      <w:tr w:rsidR="004A0A5E" w:rsidRPr="00E82D3B" w:rsidTr="00937E2A">
        <w:trPr>
          <w:trHeight w:val="64"/>
          <w:jc w:val="center"/>
        </w:trPr>
        <w:tc>
          <w:tcPr>
            <w:tcW w:w="426" w:type="dxa"/>
            <w:vAlign w:val="center"/>
          </w:tcPr>
          <w:p w:rsidR="006A6A9E" w:rsidRPr="00FD4C88" w:rsidRDefault="006A6A9E" w:rsidP="00803F38">
            <w:pPr>
              <w:jc w:val="both"/>
            </w:pPr>
            <w:r w:rsidRPr="00FD4C88">
              <w:t>5</w:t>
            </w:r>
          </w:p>
        </w:tc>
        <w:tc>
          <w:tcPr>
            <w:tcW w:w="1984" w:type="dxa"/>
            <w:vAlign w:val="center"/>
          </w:tcPr>
          <w:p w:rsidR="006A6A9E" w:rsidRPr="00FD4C88" w:rsidRDefault="006A6A9E" w:rsidP="00803F38">
            <w:pPr>
              <w:jc w:val="both"/>
              <w:rPr>
                <w:lang w:val="en-US"/>
              </w:rPr>
            </w:pPr>
            <w:r>
              <w:rPr>
                <w:lang w:val="en-US"/>
              </w:rPr>
              <w:t>Oil +</w:t>
            </w:r>
            <w:r w:rsidRPr="00FD4C88">
              <w:rPr>
                <w:lang w:val="en-US"/>
              </w:rPr>
              <w:t xml:space="preserve"> NiAl</w:t>
            </w:r>
            <w:r w:rsidRPr="00FD4C88">
              <w:rPr>
                <w:vertAlign w:val="subscript"/>
                <w:lang w:val="en-US"/>
              </w:rPr>
              <w:t>2</w:t>
            </w:r>
            <w:r w:rsidRPr="00FD4C88">
              <w:rPr>
                <w:lang w:val="en-US"/>
              </w:rPr>
              <w:t>O</w:t>
            </w:r>
            <w:r w:rsidRPr="00FD4C88">
              <w:rPr>
                <w:vertAlign w:val="subscript"/>
                <w:lang w:val="en-US"/>
              </w:rPr>
              <w:t>4</w:t>
            </w:r>
          </w:p>
        </w:tc>
        <w:tc>
          <w:tcPr>
            <w:tcW w:w="1559" w:type="dxa"/>
            <w:vAlign w:val="center"/>
          </w:tcPr>
          <w:p w:rsidR="006A6A9E" w:rsidRPr="00FD4C88" w:rsidRDefault="006A6A9E" w:rsidP="00803F38">
            <w:pPr>
              <w:jc w:val="center"/>
            </w:pPr>
            <w:r w:rsidRPr="00FD4C88">
              <w:t>65.71</w:t>
            </w:r>
          </w:p>
        </w:tc>
        <w:tc>
          <w:tcPr>
            <w:tcW w:w="1701" w:type="dxa"/>
            <w:vAlign w:val="center"/>
          </w:tcPr>
          <w:p w:rsidR="006A6A9E" w:rsidRPr="00FD4C88" w:rsidRDefault="006A6A9E" w:rsidP="00803F38">
            <w:pPr>
              <w:jc w:val="center"/>
            </w:pPr>
            <w:r w:rsidRPr="00FD4C88">
              <w:t>22.70</w:t>
            </w:r>
          </w:p>
        </w:tc>
        <w:tc>
          <w:tcPr>
            <w:tcW w:w="1490" w:type="dxa"/>
            <w:vAlign w:val="center"/>
          </w:tcPr>
          <w:p w:rsidR="006A6A9E" w:rsidRPr="00FD4C88" w:rsidRDefault="006A6A9E" w:rsidP="00803F38">
            <w:pPr>
              <w:jc w:val="center"/>
            </w:pPr>
            <w:r w:rsidRPr="00FD4C88">
              <w:t>9.62</w:t>
            </w:r>
          </w:p>
        </w:tc>
        <w:tc>
          <w:tcPr>
            <w:tcW w:w="1772" w:type="dxa"/>
            <w:vAlign w:val="center"/>
          </w:tcPr>
          <w:p w:rsidR="006A6A9E" w:rsidRPr="00FD4C88" w:rsidRDefault="006A6A9E" w:rsidP="00803F38">
            <w:pPr>
              <w:jc w:val="center"/>
            </w:pPr>
            <w:r w:rsidRPr="00FD4C88">
              <w:t>1.94</w:t>
            </w:r>
          </w:p>
        </w:tc>
      </w:tr>
      <w:tr w:rsidR="004A0A5E" w:rsidRPr="0099692C" w:rsidTr="00937E2A">
        <w:trPr>
          <w:trHeight w:val="64"/>
          <w:jc w:val="center"/>
        </w:trPr>
        <w:tc>
          <w:tcPr>
            <w:tcW w:w="426" w:type="dxa"/>
            <w:vAlign w:val="center"/>
          </w:tcPr>
          <w:p w:rsidR="006A6A9E" w:rsidRPr="00FD4C88" w:rsidRDefault="006A6A9E" w:rsidP="00803F38">
            <w:pPr>
              <w:jc w:val="both"/>
            </w:pPr>
            <w:r w:rsidRPr="00FD4C88">
              <w:t>6</w:t>
            </w:r>
          </w:p>
        </w:tc>
        <w:tc>
          <w:tcPr>
            <w:tcW w:w="1984" w:type="dxa"/>
            <w:vAlign w:val="center"/>
          </w:tcPr>
          <w:p w:rsidR="006A6A9E" w:rsidRPr="00FD4C88" w:rsidRDefault="006A6A9E" w:rsidP="00803F38">
            <w:pPr>
              <w:jc w:val="both"/>
              <w:rPr>
                <w:lang w:val="en-US"/>
              </w:rPr>
            </w:pPr>
            <w:r>
              <w:rPr>
                <w:lang w:val="en-US"/>
              </w:rPr>
              <w:t>Oil + Ni-Co</w:t>
            </w:r>
            <w:r w:rsidRPr="00FD4C88">
              <w:rPr>
                <w:vertAlign w:val="subscript"/>
                <w:lang w:val="en-US"/>
              </w:rPr>
              <w:t>2</w:t>
            </w:r>
            <w:r w:rsidRPr="00FD4C88">
              <w:rPr>
                <w:lang w:val="en-US"/>
              </w:rPr>
              <w:t>O</w:t>
            </w:r>
            <w:r>
              <w:rPr>
                <w:vertAlign w:val="subscript"/>
                <w:lang w:val="en-US"/>
              </w:rPr>
              <w:t>4</w:t>
            </w:r>
          </w:p>
        </w:tc>
        <w:tc>
          <w:tcPr>
            <w:tcW w:w="1559" w:type="dxa"/>
            <w:vAlign w:val="center"/>
          </w:tcPr>
          <w:p w:rsidR="006A6A9E" w:rsidRPr="00FD4C88" w:rsidRDefault="006A6A9E" w:rsidP="00803F38">
            <w:pPr>
              <w:jc w:val="center"/>
              <w:rPr>
                <w:lang w:val="en-US"/>
              </w:rPr>
            </w:pPr>
            <w:r>
              <w:rPr>
                <w:lang w:val="en-US"/>
              </w:rPr>
              <w:t>57.95</w:t>
            </w:r>
          </w:p>
        </w:tc>
        <w:tc>
          <w:tcPr>
            <w:tcW w:w="1701" w:type="dxa"/>
            <w:vAlign w:val="center"/>
          </w:tcPr>
          <w:p w:rsidR="006A6A9E" w:rsidRPr="00FD4C88" w:rsidRDefault="006A6A9E" w:rsidP="00803F38">
            <w:pPr>
              <w:jc w:val="center"/>
              <w:rPr>
                <w:lang w:val="en-US"/>
              </w:rPr>
            </w:pPr>
            <w:r>
              <w:rPr>
                <w:lang w:val="en-US"/>
              </w:rPr>
              <w:t>30.40</w:t>
            </w:r>
          </w:p>
        </w:tc>
        <w:tc>
          <w:tcPr>
            <w:tcW w:w="1490" w:type="dxa"/>
            <w:vAlign w:val="center"/>
          </w:tcPr>
          <w:p w:rsidR="006A6A9E" w:rsidRPr="00FD4C88" w:rsidRDefault="006A6A9E" w:rsidP="00803F38">
            <w:pPr>
              <w:jc w:val="center"/>
              <w:rPr>
                <w:lang w:val="en-US"/>
              </w:rPr>
            </w:pPr>
            <w:r>
              <w:rPr>
                <w:lang w:val="en-US"/>
              </w:rPr>
              <w:t>9.85</w:t>
            </w:r>
          </w:p>
        </w:tc>
        <w:tc>
          <w:tcPr>
            <w:tcW w:w="1772" w:type="dxa"/>
            <w:vAlign w:val="center"/>
          </w:tcPr>
          <w:p w:rsidR="006A6A9E" w:rsidRPr="00FD4C88" w:rsidRDefault="006A6A9E" w:rsidP="00803F38">
            <w:pPr>
              <w:jc w:val="center"/>
              <w:rPr>
                <w:lang w:val="en-US"/>
              </w:rPr>
            </w:pPr>
            <w:r>
              <w:rPr>
                <w:lang w:val="en-US"/>
              </w:rPr>
              <w:t>1.79</w:t>
            </w:r>
          </w:p>
        </w:tc>
      </w:tr>
    </w:tbl>
    <w:p w:rsidR="00C31AC1" w:rsidRDefault="00C31AC1" w:rsidP="00C31AC1">
      <w:pPr>
        <w:ind w:left="709" w:right="145"/>
        <w:jc w:val="both"/>
        <w:rPr>
          <w:lang w:val="en-US"/>
        </w:rPr>
      </w:pPr>
    </w:p>
    <w:p w:rsidR="007D221B" w:rsidRDefault="007D221B" w:rsidP="00BE075D">
      <w:pPr>
        <w:ind w:left="284"/>
        <w:jc w:val="both"/>
        <w:rPr>
          <w:b/>
        </w:rPr>
      </w:pPr>
      <w:r>
        <w:rPr>
          <w:b/>
        </w:rPr>
        <w:t>Biography</w:t>
      </w:r>
    </w:p>
    <w:p w:rsidR="007D221B" w:rsidRPr="00A41107" w:rsidRDefault="007D221B" w:rsidP="007D221B">
      <w:pPr>
        <w:ind w:left="284"/>
        <w:jc w:val="both"/>
        <w:rPr>
          <w:rFonts w:eastAsia="MS PGothic"/>
          <w:b/>
          <w:color w:val="000000"/>
          <w:szCs w:val="32"/>
        </w:rPr>
      </w:pPr>
      <w:r>
        <w:t xml:space="preserve">Richard Djimasbe will complete his PhD in september 2021 at the </w:t>
      </w:r>
      <w:r w:rsidRPr="00EC54D9">
        <w:rPr>
          <w:iCs/>
          <w:lang w:val="en-US"/>
        </w:rPr>
        <w:t>Kazan Federal University</w:t>
      </w:r>
      <w:r>
        <w:t xml:space="preserve">, speciality of Petrochemistry. He complted it bachelor and master degree in chemical technology at the Kazan National Research Technological University respectively in 2015 and 2017. He is junior searcher in the rheological and thermochemical laboratory at </w:t>
      </w:r>
      <w:r w:rsidRPr="00EC54D9">
        <w:rPr>
          <w:iCs/>
          <w:lang w:val="en-US"/>
        </w:rPr>
        <w:t>Kazan Federal University</w:t>
      </w:r>
      <w:r>
        <w:t>.</w:t>
      </w:r>
      <w:r>
        <w:tab/>
      </w:r>
      <w:r>
        <w:br/>
      </w:r>
    </w:p>
    <w:p w:rsidR="007D221B" w:rsidRPr="008A690F" w:rsidRDefault="007D221B" w:rsidP="007D221B">
      <w:pPr>
        <w:autoSpaceDE w:val="0"/>
        <w:autoSpaceDN w:val="0"/>
        <w:adjustRightInd w:val="0"/>
        <w:ind w:left="284"/>
        <w:rPr>
          <w:b/>
          <w:lang w:val="en-NZ"/>
        </w:rPr>
      </w:pPr>
      <w:r w:rsidRPr="008A690F">
        <w:rPr>
          <w:b/>
          <w:lang w:val="en-NZ"/>
        </w:rPr>
        <w:t xml:space="preserve">Presenting author details </w:t>
      </w:r>
      <w:r w:rsidRPr="008A690F">
        <w:rPr>
          <w:b/>
          <w:lang w:val="en-NZ"/>
        </w:rPr>
        <w:br/>
      </w:r>
      <w:r w:rsidRPr="008A690F">
        <w:rPr>
          <w:lang w:val="en-NZ"/>
        </w:rPr>
        <w:t xml:space="preserve">Full name: </w:t>
      </w:r>
      <w:r>
        <w:rPr>
          <w:lang w:val="en-NZ"/>
        </w:rPr>
        <w:t>Richard Djimasbe</w:t>
      </w:r>
      <w:r w:rsidRPr="008A690F">
        <w:rPr>
          <w:lang w:val="en-NZ"/>
        </w:rPr>
        <w:br/>
        <w:t>Contact number:</w:t>
      </w:r>
      <w:r>
        <w:rPr>
          <w:lang w:val="en-NZ"/>
        </w:rPr>
        <w:t xml:space="preserve"> +79046676953</w:t>
      </w:r>
    </w:p>
    <w:p w:rsidR="00765822" w:rsidRPr="00C31AC1" w:rsidRDefault="002F42DF" w:rsidP="007D221B">
      <w:pPr>
        <w:rPr>
          <w:lang w:val="en-US"/>
        </w:rPr>
      </w:pPr>
      <w:r>
        <w:rPr>
          <w:lang w:val="en-NZ"/>
        </w:rPr>
        <w:t xml:space="preserve">     </w:t>
      </w:r>
      <w:r w:rsidR="007D221B" w:rsidRPr="008A690F">
        <w:rPr>
          <w:lang w:val="en-NZ"/>
        </w:rPr>
        <w:t>Session name/ number:</w:t>
      </w:r>
      <w:r w:rsidR="007D221B">
        <w:rPr>
          <w:lang w:val="en-NZ"/>
        </w:rPr>
        <w:t xml:space="preserve"> </w:t>
      </w:r>
      <w:r w:rsidR="009D160A">
        <w:rPr>
          <w:lang w:val="en-NZ"/>
        </w:rPr>
        <w:t xml:space="preserve">Petroleum Chemistry and Processing Technology </w:t>
      </w:r>
      <w:r w:rsidR="007D221B">
        <w:rPr>
          <w:lang w:val="en-NZ"/>
        </w:rPr>
        <w:br/>
      </w:r>
      <w:r>
        <w:rPr>
          <w:lang w:val="en-NZ"/>
        </w:rPr>
        <w:t xml:space="preserve">    </w:t>
      </w:r>
      <w:r w:rsidR="00A82F13">
        <w:rPr>
          <w:lang w:val="en-NZ"/>
        </w:rPr>
        <w:t xml:space="preserve"> </w:t>
      </w:r>
      <w:r w:rsidR="007D221B">
        <w:rPr>
          <w:lang w:val="en-NZ"/>
        </w:rPr>
        <w:t>Category: (</w:t>
      </w:r>
      <w:r w:rsidR="007D221B" w:rsidRPr="008A690F">
        <w:rPr>
          <w:lang w:val="en-NZ"/>
        </w:rPr>
        <w:t>Poster presentation)</w:t>
      </w:r>
    </w:p>
    <w:sectPr w:rsidR="00765822" w:rsidRPr="00C31AC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Gautami">
    <w:panose1 w:val="02000500000000000000"/>
    <w:charset w:val="01"/>
    <w:family w:val="roman"/>
    <w:notTrueType/>
    <w:pitch w:val="variable"/>
  </w:font>
  <w:font w:name="MS PGothic">
    <w:panose1 w:val="020B0600070205080204"/>
    <w:charset w:val="80"/>
    <w:family w:val="swiss"/>
    <w:pitch w:val="variable"/>
    <w:sig w:usb0="E00002FF" w:usb1="6AC7FDFB" w:usb2="08000012" w:usb3="00000000" w:csb0="0002009F"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DengXian">
    <w:altName w:val="|?§Ю??Ўм§А??Ўм§А?Ўм??Ўм§А?§Ю?"/>
    <w:charset w:val="86"/>
    <w:family w:val="auto"/>
    <w:pitch w:val="variable"/>
    <w:sig w:usb0="A00002BF" w:usb1="38CF7CFA" w:usb2="00000016" w:usb3="00000000" w:csb0="0004000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0008"/>
    <w:rsid w:val="00265C14"/>
    <w:rsid w:val="002F42DF"/>
    <w:rsid w:val="00377AA0"/>
    <w:rsid w:val="00413475"/>
    <w:rsid w:val="004A0A5E"/>
    <w:rsid w:val="005D61FF"/>
    <w:rsid w:val="006A6A9E"/>
    <w:rsid w:val="007342D4"/>
    <w:rsid w:val="00765822"/>
    <w:rsid w:val="007D221B"/>
    <w:rsid w:val="00937E2A"/>
    <w:rsid w:val="009D160A"/>
    <w:rsid w:val="00A82F13"/>
    <w:rsid w:val="00AE7838"/>
    <w:rsid w:val="00B80A17"/>
    <w:rsid w:val="00BE075D"/>
    <w:rsid w:val="00BE48AF"/>
    <w:rsid w:val="00C31AC1"/>
    <w:rsid w:val="00C3547D"/>
    <w:rsid w:val="00E401E9"/>
    <w:rsid w:val="00E54E09"/>
    <w:rsid w:val="00F30008"/>
    <w:rsid w:val="00FF48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31AC1"/>
    <w:pPr>
      <w:spacing w:after="0" w:line="240" w:lineRule="auto"/>
    </w:pPr>
    <w:rPr>
      <w:rFonts w:ascii="Times New Roman" w:eastAsia="Times New Roman" w:hAnsi="Times New Roman" w:cs="Times New Roman"/>
      <w:sz w:val="24"/>
      <w:szCs w:val="24"/>
      <w:lang w:val="it-IT" w:eastAsia="it-IT"/>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31AC1"/>
    <w:rPr>
      <w:rFonts w:ascii="Tahoma" w:hAnsi="Tahoma" w:cs="Tahoma"/>
      <w:sz w:val="16"/>
      <w:szCs w:val="16"/>
    </w:rPr>
  </w:style>
  <w:style w:type="character" w:customStyle="1" w:styleId="a4">
    <w:name w:val="Текст выноски Знак"/>
    <w:basedOn w:val="a0"/>
    <w:link w:val="a3"/>
    <w:uiPriority w:val="99"/>
    <w:semiHidden/>
    <w:rsid w:val="00C31AC1"/>
    <w:rPr>
      <w:rFonts w:ascii="Tahoma" w:eastAsia="Times New Roman" w:hAnsi="Tahoma" w:cs="Tahoma"/>
      <w:sz w:val="16"/>
      <w:szCs w:val="16"/>
      <w:lang w:val="it-IT" w:eastAsia="it-IT"/>
    </w:rPr>
  </w:style>
  <w:style w:type="paragraph" w:styleId="a5">
    <w:name w:val="Body Text"/>
    <w:basedOn w:val="a"/>
    <w:link w:val="a6"/>
    <w:uiPriority w:val="99"/>
    <w:rsid w:val="00C31AC1"/>
    <w:pPr>
      <w:suppressAutoHyphens/>
      <w:jc w:val="center"/>
    </w:pPr>
    <w:rPr>
      <w:rFonts w:cs="Gautami"/>
      <w:lang w:val="x-none" w:eastAsia="x-none" w:bidi="te-IN"/>
    </w:rPr>
  </w:style>
  <w:style w:type="character" w:customStyle="1" w:styleId="a6">
    <w:name w:val="Основной текст Знак"/>
    <w:basedOn w:val="a0"/>
    <w:link w:val="a5"/>
    <w:uiPriority w:val="99"/>
    <w:rsid w:val="00C31AC1"/>
    <w:rPr>
      <w:rFonts w:ascii="Times New Roman" w:eastAsia="Times New Roman" w:hAnsi="Times New Roman" w:cs="Gautami"/>
      <w:sz w:val="24"/>
      <w:szCs w:val="24"/>
      <w:lang w:val="x-none" w:eastAsia="x-none" w:bidi="te-IN"/>
    </w:rPr>
  </w:style>
  <w:style w:type="table" w:styleId="a7">
    <w:name w:val="Table Grid"/>
    <w:basedOn w:val="a1"/>
    <w:uiPriority w:val="59"/>
    <w:rsid w:val="006A6A9E"/>
    <w:pPr>
      <w:spacing w:after="0" w:line="240" w:lineRule="auto"/>
    </w:pPr>
    <w:rPr>
      <w:rFonts w:eastAsia="Times New Roman" w:cs="Times New Roman"/>
      <w:sz w:val="24"/>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31AC1"/>
    <w:pPr>
      <w:spacing w:after="0" w:line="240" w:lineRule="auto"/>
    </w:pPr>
    <w:rPr>
      <w:rFonts w:ascii="Times New Roman" w:eastAsia="Times New Roman" w:hAnsi="Times New Roman" w:cs="Times New Roman"/>
      <w:sz w:val="24"/>
      <w:szCs w:val="24"/>
      <w:lang w:val="it-IT" w:eastAsia="it-IT"/>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31AC1"/>
    <w:rPr>
      <w:rFonts w:ascii="Tahoma" w:hAnsi="Tahoma" w:cs="Tahoma"/>
      <w:sz w:val="16"/>
      <w:szCs w:val="16"/>
    </w:rPr>
  </w:style>
  <w:style w:type="character" w:customStyle="1" w:styleId="a4">
    <w:name w:val="Текст выноски Знак"/>
    <w:basedOn w:val="a0"/>
    <w:link w:val="a3"/>
    <w:uiPriority w:val="99"/>
    <w:semiHidden/>
    <w:rsid w:val="00C31AC1"/>
    <w:rPr>
      <w:rFonts w:ascii="Tahoma" w:eastAsia="Times New Roman" w:hAnsi="Tahoma" w:cs="Tahoma"/>
      <w:sz w:val="16"/>
      <w:szCs w:val="16"/>
      <w:lang w:val="it-IT" w:eastAsia="it-IT"/>
    </w:rPr>
  </w:style>
  <w:style w:type="paragraph" w:styleId="a5">
    <w:name w:val="Body Text"/>
    <w:basedOn w:val="a"/>
    <w:link w:val="a6"/>
    <w:uiPriority w:val="99"/>
    <w:rsid w:val="00C31AC1"/>
    <w:pPr>
      <w:suppressAutoHyphens/>
      <w:jc w:val="center"/>
    </w:pPr>
    <w:rPr>
      <w:rFonts w:cs="Gautami"/>
      <w:lang w:val="x-none" w:eastAsia="x-none" w:bidi="te-IN"/>
    </w:rPr>
  </w:style>
  <w:style w:type="character" w:customStyle="1" w:styleId="a6">
    <w:name w:val="Основной текст Знак"/>
    <w:basedOn w:val="a0"/>
    <w:link w:val="a5"/>
    <w:uiPriority w:val="99"/>
    <w:rsid w:val="00C31AC1"/>
    <w:rPr>
      <w:rFonts w:ascii="Times New Roman" w:eastAsia="Times New Roman" w:hAnsi="Times New Roman" w:cs="Gautami"/>
      <w:sz w:val="24"/>
      <w:szCs w:val="24"/>
      <w:lang w:val="x-none" w:eastAsia="x-none" w:bidi="te-IN"/>
    </w:rPr>
  </w:style>
  <w:style w:type="table" w:styleId="a7">
    <w:name w:val="Table Grid"/>
    <w:basedOn w:val="a1"/>
    <w:uiPriority w:val="59"/>
    <w:rsid w:val="006A6A9E"/>
    <w:pPr>
      <w:spacing w:after="0" w:line="240" w:lineRule="auto"/>
    </w:pPr>
    <w:rPr>
      <w:rFonts w:eastAsia="Times New Roman" w:cs="Times New Roman"/>
      <w:sz w:val="24"/>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tiff"/><Relationship Id="rId3" Type="http://schemas.openxmlformats.org/officeDocument/2006/relationships/settings" Target="settings.xml"/><Relationship Id="rId7" Type="http://schemas.openxmlformats.org/officeDocument/2006/relationships/image" Target="media/image3.tiff"/><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147</TotalTime>
  <Pages>2</Pages>
  <Words>435</Words>
  <Characters>2485</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Lenovo</dc:creator>
  <cp:keywords/>
  <dc:description/>
  <cp:lastModifiedBy>Пользователь Lenovo</cp:lastModifiedBy>
  <cp:revision>19</cp:revision>
  <dcterms:created xsi:type="dcterms:W3CDTF">2021-06-20T13:50:00Z</dcterms:created>
  <dcterms:modified xsi:type="dcterms:W3CDTF">2021-06-23T12:00:00Z</dcterms:modified>
</cp:coreProperties>
</file>