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Times New Roman" w:cs="Times New Roman" w:eastAsia="Times New Roman" w:hAnsi="Times New Roman"/>
          <w:b w:val="1"/>
          <w:i w:val="0"/>
          <w:smallCaps w:val="0"/>
          <w:strike w:val="0"/>
          <w:color w:val="2239d1"/>
          <w:sz w:val="32"/>
          <w:szCs w:val="32"/>
          <w:highlight w:val="white"/>
          <w:u w:val="none"/>
          <w:vertAlign w:val="baseline"/>
        </w:rPr>
      </w:pPr>
      <w:r w:rsidDel="00000000" w:rsidR="00000000" w:rsidRPr="00000000">
        <w:rPr>
          <w:rFonts w:ascii="Times New Roman" w:cs="Times New Roman" w:eastAsia="Times New Roman" w:hAnsi="Times New Roman"/>
          <w:b w:val="1"/>
          <w:i w:val="0"/>
          <w:smallCaps w:val="0"/>
          <w:strike w:val="0"/>
          <w:color w:val="2239d1"/>
          <w:sz w:val="32"/>
          <w:szCs w:val="32"/>
          <w:highlight w:val="white"/>
          <w:u w:val="none"/>
          <w:vertAlign w:val="baseline"/>
          <w:rtl w:val="0"/>
        </w:rPr>
        <w:t xml:space="preserve">Lycopersicon esculentum</w:t>
      </w:r>
      <w:r w:rsidDel="00000000" w:rsidR="00000000" w:rsidRPr="00000000">
        <w:rPr>
          <w:rFonts w:ascii="Arial" w:cs="Arial" w:eastAsia="Arial" w:hAnsi="Arial"/>
          <w:b w:val="1"/>
          <w:i w:val="0"/>
          <w:smallCaps w:val="0"/>
          <w:strike w:val="0"/>
          <w:color w:val="2239d1"/>
          <w:sz w:val="32"/>
          <w:szCs w:val="32"/>
          <w:highlight w:val="white"/>
          <w:u w:val="none"/>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2239d1"/>
          <w:sz w:val="32"/>
          <w:szCs w:val="32"/>
          <w:highlight w:val="white"/>
          <w:u w:val="none"/>
          <w:vertAlign w:val="baseline"/>
          <w:rtl w:val="0"/>
        </w:rPr>
        <w:t xml:space="preserve">and the effects of BioShield</w:t>
      </w:r>
      <w:r w:rsidDel="00000000" w:rsidR="00000000" w:rsidRPr="00000000">
        <w:rPr>
          <w:rFonts w:ascii="Times New Roman" w:cs="Times New Roman" w:eastAsia="Times New Roman" w:hAnsi="Times New Roman"/>
          <w:b w:val="1"/>
          <w:i w:val="0"/>
          <w:smallCaps w:val="0"/>
          <w:strike w:val="0"/>
          <w:color w:val="2239d1"/>
          <w:sz w:val="12"/>
          <w:szCs w:val="12"/>
          <w:highlight w:val="white"/>
          <w:u w:val="none"/>
          <w:vertAlign w:val="baseline"/>
          <w:rtl w:val="0"/>
        </w:rPr>
        <w:t xml:space="preserve">TM</w:t>
      </w:r>
      <w:r w:rsidDel="00000000" w:rsidR="00000000" w:rsidRPr="00000000">
        <w:rPr>
          <w:rFonts w:ascii="Times New Roman" w:cs="Times New Roman" w:eastAsia="Times New Roman" w:hAnsi="Times New Roman"/>
          <w:b w:val="1"/>
          <w:i w:val="0"/>
          <w:smallCaps w:val="0"/>
          <w:strike w:val="0"/>
          <w:color w:val="2239d1"/>
          <w:sz w:val="32"/>
          <w:szCs w:val="32"/>
          <w:highlight w:val="white"/>
          <w:u w:val="none"/>
          <w:vertAlign w:val="baseline"/>
          <w:rtl w:val="0"/>
        </w:rPr>
        <w:t xml:space="preserve"> improving the whitening and brightening skin tone before and after performing a BioActivated PRP with Bioquantine</w:t>
      </w:r>
      <w:r w:rsidDel="00000000" w:rsidR="00000000" w:rsidRPr="00000000">
        <w:rPr>
          <w:rFonts w:ascii="Times New Roman" w:cs="Times New Roman" w:eastAsia="Times New Roman" w:hAnsi="Times New Roman"/>
          <w:b w:val="0"/>
          <w:i w:val="0"/>
          <w:smallCaps w:val="0"/>
          <w:strike w:val="0"/>
          <w:color w:val="0432ff"/>
          <w:sz w:val="18"/>
          <w:szCs w:val="18"/>
          <w:highlight w:val="white"/>
          <w:u w:val="none"/>
          <w:vertAlign w:val="baseline"/>
          <w:rtl w:val="0"/>
        </w:rPr>
        <w:t xml:space="preserve">®</w:t>
      </w:r>
      <w:r w:rsidDel="00000000" w:rsidR="00000000" w:rsidRPr="00000000">
        <w:rPr>
          <w:rFonts w:ascii="Times New Roman" w:cs="Times New Roman" w:eastAsia="Times New Roman" w:hAnsi="Times New Roman"/>
          <w:b w:val="1"/>
          <w:i w:val="0"/>
          <w:smallCaps w:val="0"/>
          <w:strike w:val="0"/>
          <w:color w:val="2239d1"/>
          <w:sz w:val="32"/>
          <w:szCs w:val="32"/>
          <w:highlight w:val="white"/>
          <w:u w:val="none"/>
          <w:vertAlign w:val="baseline"/>
          <w:rtl w:val="0"/>
        </w:rPr>
        <w:t xml:space="preserve"> for an advanced skin rejuvenation.</w:t>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73" w:line="198" w:lineRule="auto"/>
        <w:ind w:left="100" w:right="5987" w:firstLine="0"/>
        <w:contextualSpacing w:val="0"/>
        <w:jc w:val="left"/>
        <w:rPr>
          <w:rFonts w:ascii="Arial" w:cs="Arial" w:eastAsia="Arial" w:hAnsi="Arial"/>
          <w:b w:val="0"/>
          <w:i w:val="0"/>
          <w:smallCaps w:val="0"/>
          <w:strike w:val="0"/>
          <w:color w:val="000000"/>
          <w:sz w:val="18"/>
          <w:szCs w:val="18"/>
          <w:u w:val="none"/>
          <w:vertAlign w:val="baseline"/>
        </w:rPr>
      </w:pPr>
      <w:r w:rsidDel="00000000" w:rsidR="00000000" w:rsidRPr="00000000">
        <w:rPr>
          <w:rFonts w:ascii="Arial" w:cs="Arial" w:eastAsia="Arial" w:hAnsi="Arial"/>
          <w:b w:val="0"/>
          <w:i w:val="0"/>
          <w:smallCaps w:val="0"/>
          <w:strike w:val="0"/>
          <w:color w:val="000000"/>
          <w:sz w:val="18"/>
          <w:szCs w:val="18"/>
          <w:u w:val="none"/>
          <w:vertAlign w:val="baseline"/>
          <w:rtl w:val="0"/>
        </w:rPr>
        <w:t xml:space="preserve">Dr Joel I. Osorio MD, Regenerage International, Inc. USA</w:t>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73" w:line="198" w:lineRule="auto"/>
        <w:ind w:left="100" w:right="5987" w:firstLine="0"/>
        <w:contextualSpacing w:val="0"/>
        <w:jc w:val="left"/>
        <w:rPr>
          <w:rFonts w:ascii="Arial" w:cs="Arial" w:eastAsia="Arial" w:hAnsi="Arial"/>
          <w:b w:val="0"/>
          <w:i w:val="0"/>
          <w:smallCaps w:val="0"/>
          <w:strike w:val="0"/>
          <w:color w:val="000000"/>
          <w:sz w:val="18"/>
          <w:szCs w:val="18"/>
          <w:u w:val="none"/>
          <w:vertAlign w:val="baseline"/>
        </w:rPr>
      </w:pPr>
      <w:r w:rsidDel="00000000" w:rsidR="00000000" w:rsidRPr="00000000">
        <w:rPr>
          <w:rFonts w:ascii="Arial" w:cs="Arial" w:eastAsia="Arial" w:hAnsi="Arial"/>
          <w:b w:val="0"/>
          <w:i w:val="0"/>
          <w:smallCaps w:val="0"/>
          <w:strike w:val="0"/>
          <w:color w:val="000000"/>
          <w:sz w:val="18"/>
          <w:szCs w:val="18"/>
          <w:u w:val="none"/>
          <w:vertAlign w:val="baseline"/>
          <w:rtl w:val="0"/>
        </w:rPr>
        <w:t xml:space="preserve">Dr. Lejla Stojanovic MD, Regenerage Europe. Serbia</w:t>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73" w:line="198" w:lineRule="auto"/>
        <w:ind w:left="100" w:right="5987" w:firstLine="0"/>
        <w:contextualSpacing w:val="0"/>
        <w:jc w:val="left"/>
        <w:rPr>
          <w:rFonts w:ascii="Arial" w:cs="Arial" w:eastAsia="Arial" w:hAnsi="Arial"/>
          <w:b w:val="0"/>
          <w:i w:val="0"/>
          <w:smallCaps w:val="0"/>
          <w:strike w:val="0"/>
          <w:color w:val="000000"/>
          <w:sz w:val="18"/>
          <w:szCs w:val="18"/>
          <w:u w:val="none"/>
          <w:vertAlign w:val="baseline"/>
        </w:rPr>
      </w:pPr>
      <w:r w:rsidDel="00000000" w:rsidR="00000000" w:rsidRPr="00000000">
        <w:rPr>
          <w:rFonts w:ascii="Arial" w:cs="Arial" w:eastAsia="Arial" w:hAnsi="Arial"/>
          <w:b w:val="0"/>
          <w:i w:val="0"/>
          <w:smallCaps w:val="0"/>
          <w:strike w:val="0"/>
          <w:color w:val="000000"/>
          <w:sz w:val="18"/>
          <w:szCs w:val="18"/>
          <w:u w:val="none"/>
          <w:vertAlign w:val="baseline"/>
          <w:rtl w:val="0"/>
        </w:rPr>
        <w:t xml:space="preserve">Dr. Sergei Paylian, PhD. Bioquark, Inc. USA</w:t>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40" w:lineRule="auto"/>
        <w:ind w:left="0" w:right="0" w:firstLine="0"/>
        <w:contextualSpacing w:val="0"/>
        <w:jc w:val="left"/>
        <w:rPr>
          <w:rFonts w:ascii="Arial" w:cs="Arial" w:eastAsia="Arial" w:hAnsi="Arial"/>
          <w:b w:val="0"/>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pStyle w:val="Heading3"/>
        <w:pBdr/>
        <w:spacing w:before="147" w:lineRule="auto"/>
        <w:contextualSpacing w:val="0"/>
        <w:jc w:val="both"/>
        <w:rPr/>
      </w:pP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8"/>
          <w:szCs w:val="18"/>
          <w:u w:val="none"/>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vertAlign w:val="baseline"/>
          <w:rtl w:val="0"/>
        </w:rPr>
        <w:t xml:space="preserve">Epithelial tissues like those that form the skin are essential to protect the human body from diverse aggressions. The skin is the largest organ of the human body and consists of several layers and structures. It is an essential physical barrier that protects us from the external environment (radiation, xenobiotics, microorganisms, etc.) but also intervenes in essential processes. Examples are thermoregulation, metabolism, the homeostasis of fluids, sensing, or the production of vitamin D and other important compounds [1–2]. Given its importance at different levels, damage to the skin lead to disorders of different natures that can eventually lead to diseases, for instance those derived from infections or even skin cancers, with consequent negative effects in terms of well-being and associated healthcare costs. Skin appearance is also important for individuals at various levels, since some attributes (pigmentation, colour uniformity, wrinkling, elasticity, etc.) have a significant influence on attractiveness judgements, and skin signaling has been associated to aspects ranging from mating choices to socioeconomic status [3–4]. In this work, the importance of our combinatorial biologics from natural sources including Lycopersicon esculentum extract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BioShield</w:t>
      </w:r>
      <w:r w:rsidDel="00000000" w:rsidR="00000000" w:rsidRPr="00000000">
        <w:rPr>
          <w:rFonts w:ascii="Times New Roman" w:cs="Times New Roman" w:eastAsia="Times New Roman" w:hAnsi="Times New Roman"/>
          <w:b w:val="0"/>
          <w:i w:val="0"/>
          <w:smallCaps w:val="0"/>
          <w:strike w:val="0"/>
          <w:color w:val="000000"/>
          <w:sz w:val="8"/>
          <w:szCs w:val="8"/>
          <w:highlight w:val="white"/>
          <w:u w:val="none"/>
          <w:vertAlign w:val="baseline"/>
          <w:rtl w:val="0"/>
        </w:rPr>
        <w:t xml:space="preserve">TM  </w:t>
      </w:r>
      <w:r w:rsidDel="00000000" w:rsidR="00000000" w:rsidRPr="00000000">
        <w:rPr>
          <w:rFonts w:ascii="Times New Roman" w:cs="Times New Roman" w:eastAsia="Times New Roman" w:hAnsi="Times New Roman"/>
          <w:b w:val="0"/>
          <w:i w:val="0"/>
          <w:smallCaps w:val="0"/>
          <w:strike w:val="0"/>
          <w:color w:val="000000"/>
          <w:sz w:val="18"/>
          <w:szCs w:val="18"/>
          <w:u w:val="none"/>
          <w:vertAlign w:val="baseline"/>
          <w:rtl w:val="0"/>
        </w:rPr>
        <w:t xml:space="preserve">carotenoids), and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Bioquantine®</w:t>
      </w:r>
      <w:r w:rsidDel="00000000" w:rsidR="00000000" w:rsidRPr="00000000">
        <w:rPr>
          <w:rFonts w:ascii="Times New Roman" w:cs="Times New Roman" w:eastAsia="Times New Roman" w:hAnsi="Times New Roman"/>
          <w:b w:val="0"/>
          <w:i w:val="0"/>
          <w:smallCaps w:val="0"/>
          <w:strike w:val="0"/>
          <w:color w:val="000000"/>
          <w:sz w:val="18"/>
          <w:szCs w:val="18"/>
          <w:u w:val="none"/>
          <w:vertAlign w:val="baseline"/>
          <w:rtl w:val="0"/>
        </w:rPr>
        <w:t xml:space="preserve"> in skin health and appearance is reviewed and discussed. References are made to their applications in health promoting, nutricosmetic products and the boosting effect on the facial Platelet Rich Plasma (PRP) showing that the outcome can be improved. Our focused analysis is based on the prevention and protection given by Lycopersicon esculentum on the colourless UV radiation (UVR)-absorbing dietary carotenoids. The skin rejuvenation offered by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Bioquantine® and the obtained skin regeneration through  PRP facial applications. </w:t>
      </w:r>
      <w:r w:rsidDel="00000000" w:rsidR="00000000" w:rsidRPr="00000000">
        <w:rPr>
          <w:rFonts w:ascii="Times New Roman" w:cs="Times New Roman" w:eastAsia="Times New Roman" w:hAnsi="Times New Roman"/>
          <w:b w:val="0"/>
          <w:i w:val="0"/>
          <w:smallCaps w:val="0"/>
          <w:strike w:val="0"/>
          <w:color w:val="000000"/>
          <w:sz w:val="18"/>
          <w:szCs w:val="18"/>
          <w:u w:val="none"/>
          <w:vertAlign w:val="baseline"/>
          <w:rtl w:val="0"/>
        </w:rPr>
        <w:t xml:space="preserve">These carotenoid compound is a dietary carotenoid, readily bioavailable, and have been shown to be involved in several health-promoting actions, as pinpointed in recent reviews [5]. The benefit of adding a topical product containing 93 peptides on its formula boosts then effect of the skin rejuvenation with that unique UVR-absorbing carotenoid and activities can be beneficial in these contexts is whitening and brightening of the patients skin tone. As it is proven, tomatoes and tomato products are rich sources of carotenoids—principally lycopene and lycopersicon esculentum, followed by β-carotene and lutein.</w:t>
      </w:r>
      <w:r w:rsidDel="00000000" w:rsidR="00000000" w:rsidRPr="00000000">
        <w:rPr>
          <w:rFonts w:ascii="Helvetica Neue" w:cs="Helvetica Neue" w:eastAsia="Helvetica Neue" w:hAnsi="Helvetica Neue"/>
          <w:b w:val="0"/>
          <w:i w:val="0"/>
          <w:smallCaps w:val="0"/>
          <w:strike w:val="0"/>
          <w:color w:val="000000"/>
          <w:sz w:val="22"/>
          <w:szCs w:val="22"/>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u w:val="none"/>
          <w:vertAlign w:val="baseline"/>
          <w:rtl w:val="0"/>
        </w:rPr>
        <w:t xml:space="preserve">Epigenetic factors can cause several genotoxic effects on cells, including oxidative stress, DNA sequence breakage and protein modification. Among the body organs, skin is certainly the most exposed to many epigenetic factors including pollution, stress and many environmental chemicals that can be causing the most damaged by the toxic effects [6].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Bioquantine®, a miRNA extract from Xenopus laevis frog oocytes (purified from intra- and extra-oocyte liquid phases of electroporated oocytes), showed potential as a treatment for a wide range of conditions in animal models, including skin rejuvenation among others [7-8]. The current abstract observed beneficial changes with the combinatorial use of  BioShield</w:t>
      </w:r>
      <w:r w:rsidDel="00000000" w:rsidR="00000000" w:rsidRPr="00000000">
        <w:rPr>
          <w:rFonts w:ascii="Times New Roman" w:cs="Times New Roman" w:eastAsia="Times New Roman" w:hAnsi="Times New Roman"/>
          <w:b w:val="0"/>
          <w:i w:val="0"/>
          <w:smallCaps w:val="0"/>
          <w:strike w:val="0"/>
          <w:color w:val="000000"/>
          <w:sz w:val="8"/>
          <w:szCs w:val="8"/>
          <w:highlight w:val="white"/>
          <w:u w:val="none"/>
          <w:vertAlign w:val="baseline"/>
          <w:rtl w:val="0"/>
        </w:rPr>
        <w:t xml:space="preserve">TM</w:t>
      </w:r>
      <w:r w:rsidDel="00000000" w:rsidR="00000000" w:rsidRPr="00000000">
        <w:rPr>
          <w:rFonts w:ascii="Times New Roman" w:cs="Times New Roman" w:eastAsia="Times New Roman" w:hAnsi="Times New Roman"/>
          <w:b w:val="1"/>
          <w:i w:val="0"/>
          <w:smallCaps w:val="0"/>
          <w:strike w:val="0"/>
          <w:color w:val="2239d1"/>
          <w:sz w:val="12"/>
          <w:szCs w:val="12"/>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and Bioquantine® administration 30 days before and 30 days after a first BioActivated PRP application to 6 patients with photo damaged and aged skin condition. Platelet-rich plasma (PRP) has gained popularity in facial plastic surgery because of its role in wound healing. PRP, having a higher concentration of platelets, allows for greater release of growth factors and biologically active proteins, which in turn activates the wound-healing cascade stimulating neoangiogenesis and collagen production. One of the most popular uses for PRP is for facial skin rejuvenation in the form of dermal injections and topical application during microneedling [9].  PRP proved to promote wound healing and aid in facelift, volumetric skin, skin rejuvenation, regeneration, and reconstruction; improve wrinkling; stimulate hair growth; increase hair follicle viability and its survival rate; prevent apoptosis; increase and prolong the anagen hair growth stage; and delay the progression to catagen hair cycle stage with increased density in hair loss and hair transplantation. The aims of this extensive review were to cover all PRP application aspects that are carried out in aesthetic dermatology and to assess the literature on platelet-rich plasma outcomes on main aesthetic practices of general dermatology [10]. By BioActivated PRP we designate the boosted ordinary PRP with 0.2mg of added Bioquantine®. Carotenoids are pigments ubiquitous in nature and responsible for the bright yellow to dark red color of vegetal products. Numerous epidemiological studies have demonstrated a relationship between carotenoid intake and reduction in risk of developing degenerative diseases, being the tomatoes and tomato products a rich source of carotenoids and lycopersicun esculentum. As part of our 60 days skin rejuvenation protocol we added a formulated cream to support the patients skin condition at night, being Bioquantine® the main ingredient to maintain the desired outcomes. Our Skinutrix BioShield</w:t>
      </w:r>
      <w:r w:rsidDel="00000000" w:rsidR="00000000" w:rsidRPr="00000000">
        <w:rPr>
          <w:rFonts w:ascii="Times New Roman" w:cs="Times New Roman" w:eastAsia="Times New Roman" w:hAnsi="Times New Roman"/>
          <w:b w:val="0"/>
          <w:i w:val="0"/>
          <w:smallCaps w:val="0"/>
          <w:strike w:val="0"/>
          <w:color w:val="000000"/>
          <w:sz w:val="8"/>
          <w:szCs w:val="8"/>
          <w:highlight w:val="white"/>
          <w:u w:val="none"/>
          <w:vertAlign w:val="baseline"/>
          <w:rtl w:val="0"/>
        </w:rPr>
        <w:t xml:space="preserve">TM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supplement capsules with concentrated </w:t>
      </w:r>
      <w:r w:rsidDel="00000000" w:rsidR="00000000" w:rsidRPr="00000000">
        <w:rPr>
          <w:rFonts w:ascii="Times New Roman" w:cs="Times New Roman" w:eastAsia="Times New Roman" w:hAnsi="Times New Roman"/>
          <w:b w:val="0"/>
          <w:i w:val="0"/>
          <w:smallCaps w:val="0"/>
          <w:strike w:val="0"/>
          <w:color w:val="000000"/>
          <w:sz w:val="18"/>
          <w:szCs w:val="18"/>
          <w:u w:val="none"/>
          <w:vertAlign w:val="baseline"/>
          <w:rtl w:val="0"/>
        </w:rPr>
        <w:t xml:space="preserve">Lycopersicon esculentum extract developed with a unique liposome technology capable to stimulate the skin protection and regeneration was prescribed to our patients 15 days before the BioActivaded PRP facial application with the purpose of stimulating the sun protection and the skin whitening before the mentioned procedure. By the intake of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Skinutrix BioShield</w:t>
      </w:r>
      <w:r w:rsidDel="00000000" w:rsidR="00000000" w:rsidRPr="00000000">
        <w:rPr>
          <w:rFonts w:ascii="Times New Roman" w:cs="Times New Roman" w:eastAsia="Times New Roman" w:hAnsi="Times New Roman"/>
          <w:b w:val="0"/>
          <w:i w:val="0"/>
          <w:smallCaps w:val="0"/>
          <w:strike w:val="0"/>
          <w:color w:val="000000"/>
          <w:sz w:val="8"/>
          <w:szCs w:val="8"/>
          <w:highlight w:val="white"/>
          <w:u w:val="none"/>
          <w:vertAlign w:val="baseline"/>
          <w:rtl w:val="0"/>
        </w:rPr>
        <w:t xml:space="preserve">TM   </w:t>
      </w:r>
      <w:r w:rsidDel="00000000" w:rsidR="00000000" w:rsidRPr="00000000">
        <w:rPr>
          <w:rFonts w:ascii="Times New Roman" w:cs="Times New Roman" w:eastAsia="Times New Roman" w:hAnsi="Times New Roman"/>
          <w:b w:val="0"/>
          <w:i w:val="0"/>
          <w:smallCaps w:val="0"/>
          <w:strike w:val="0"/>
          <w:color w:val="000000"/>
          <w:sz w:val="18"/>
          <w:szCs w:val="18"/>
          <w:highlight w:val="white"/>
          <w:u w:val="none"/>
          <w:vertAlign w:val="baseline"/>
          <w:rtl w:val="0"/>
        </w:rPr>
        <w:t xml:space="preserve">supplement capsules we experienced an early positive result even before the BioActivated PRP application</w:t>
      </w: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8"/>
          <w:szCs w:val="18"/>
          <w:highlight w:val="white"/>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8"/>
          <w:szCs w:val="18"/>
          <w:highlight w:val="white"/>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8"/>
          <w:szCs w:val="18"/>
          <w:highlight w:val="white"/>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Times New Roman" w:cs="Times New Roman" w:eastAsia="Times New Roman" w:hAnsi="Times New Roman"/>
          <w:b w:val="0"/>
          <w:i w:val="0"/>
          <w:smallCaps w:val="0"/>
          <w:strike w:val="0"/>
          <w:color w:val="000000"/>
          <w:sz w:val="18"/>
          <w:szCs w:val="18"/>
          <w:highlight w:val="white"/>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240" w:before="0" w:line="240" w:lineRule="auto"/>
        <w:ind w:left="0" w:right="0" w:firstLine="0"/>
        <w:contextualSpacing w:val="0"/>
        <w:jc w:val="both"/>
        <w:rPr>
          <w:rFonts w:ascii="Helvetica Neue" w:cs="Helvetica Neue" w:eastAsia="Helvetica Neue" w:hAnsi="Helvetica Neue"/>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pStyle w:val="Heading3"/>
        <w:pBdr/>
        <w:spacing w:before="74" w:lineRule="auto"/>
        <w:contextualSpacing w:val="0"/>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04" w:lineRule="auto"/>
        <w:ind w:left="0" w:right="0" w:firstLine="0"/>
        <w:contextualSpacing w:val="0"/>
        <w:jc w:val="left"/>
        <w:rPr>
          <w:rFonts w:ascii="Arial" w:cs="Arial" w:eastAsia="Arial" w:hAnsi="Arial"/>
          <w:b w:val="1"/>
          <w:i w:val="0"/>
          <w:smallCaps w:val="0"/>
          <w:strike w:val="0"/>
          <w:color w:val="bf5a14"/>
          <w:sz w:val="20"/>
          <w:szCs w:val="20"/>
          <w:u w:val="none"/>
          <w:vertAlign w:val="baseline"/>
        </w:rPr>
      </w:pPr>
      <w:r w:rsidDel="00000000" w:rsidR="00000000" w:rsidRPr="00000000">
        <w:rPr>
          <w:rFonts w:ascii="Questrial" w:cs="Questrial" w:eastAsia="Questrial" w:hAnsi="Questrial"/>
          <w:b w:val="0"/>
          <w:i w:val="0"/>
          <w:smallCaps w:val="0"/>
          <w:strike w:val="0"/>
          <w:color w:val="000000"/>
          <w:sz w:val="22"/>
          <w:szCs w:val="22"/>
          <w:u w:val="none"/>
          <w:vertAlign w:val="baseline"/>
          <w:rtl w:val="0"/>
        </w:rPr>
        <w:t xml:space="preserve">      </w:t>
      </w:r>
      <w:r w:rsidDel="00000000" w:rsidR="00000000" w:rsidRPr="00000000">
        <w:rPr>
          <w:rFonts w:ascii="Arial" w:cs="Arial" w:eastAsia="Arial" w:hAnsi="Arial"/>
          <w:b w:val="1"/>
          <w:i w:val="0"/>
          <w:smallCaps w:val="0"/>
          <w:strike w:val="0"/>
          <w:color w:val="bf5a14"/>
          <w:sz w:val="20"/>
          <w:szCs w:val="20"/>
          <w:u w:val="none"/>
          <w:vertAlign w:val="baseline"/>
          <w:rtl w:val="0"/>
        </w:rPr>
        <w:t xml:space="preserve">References.</w:t>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04" w:lineRule="auto"/>
        <w:ind w:left="0" w:right="0" w:firstLine="0"/>
        <w:contextualSpacing w:val="0"/>
        <w:jc w:val="left"/>
        <w:rPr>
          <w:rFonts w:ascii="Arial" w:cs="Arial" w:eastAsia="Arial" w:hAnsi="Arial"/>
          <w:b w:val="1"/>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0" w:right="0" w:firstLine="0"/>
        <w:contextualSpacing w:val="0"/>
        <w:jc w:val="left"/>
        <w:rPr>
          <w:rFonts w:ascii="Arial" w:cs="Arial" w:eastAsia="Arial" w:hAnsi="Arial"/>
          <w:b w:val="0"/>
          <w:i w:val="0"/>
          <w:smallCaps w:val="0"/>
          <w:strike w:val="0"/>
          <w:color w:val="000000"/>
          <w:sz w:val="16"/>
          <w:szCs w:val="16"/>
          <w:u w:val="none"/>
          <w:vertAlign w:val="baseline"/>
        </w:rPr>
      </w:pPr>
      <w:r w:rsidDel="00000000" w:rsidR="00000000" w:rsidRPr="00000000">
        <w:rPr>
          <w:rtl w:val="0"/>
        </w:rPr>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Lai-Cheong, J.E.; McGrath, J.A. Structure and function of skin, hair and nails. Medicine (Baltimore). 2017, 45, 347–351, doi:10.1016/J.MPMED.2017.03.004.  </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Rittie, L.; Fisher, G.J.; Rittié, L.; Fisher, G.J. Natural and sun-induced aging of human skin. Cold Spring Harb. Perspect. Med. 2015, 5, a015370, doi:10.1101/cshperspect.a015370. </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Samson, N.; Fink, B.; Matts, P.J. Visible skin condition and perception of human facial appearance. Int. J. Cosmet. Sci. 2010, 32, 167–184, doi:10.1111/j.1468-2494.2009.00535.x. </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Lee, C.-M. Fifty years of research and development of cosmeceuticals: A contemporary review. J. Cosmet. Dermatol. 2016, 15, 527–539, doi:10.1111/jocd.12261. </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Laura D’Evoli, </w:t>
      </w:r>
      <w:hyperlink r:id="rId6">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Ginevra Lombardi-Boccia</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and </w:t>
      </w:r>
      <w:hyperlink r:id="rId7">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Massimo Lucarini</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Influence of Heat Treatments on Carotenoid Content of Cherry Tomatoes. Foods. 2013 Sep; 2(3): 352-363 Published online 2013 Jul 31. doi: 10.3390/foods2030352 </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hyperlink r:id="rId8">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Tito A</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9">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Carola A</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0">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Bimonte M</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1">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Barbulova A</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2">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Arciello S</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3">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de Laurentiis F</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Monoli I</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5">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Hill J</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6">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Gibertoni S</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7">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Colucci G</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8">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Apone F</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19">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Int J Cosmet Sci.</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2011 Dec;33(6):543-52. doi: 10.1111/j.1468-2494.2011.00668.x. Epub 2011 May 24.</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Sergei Paylian, et al., Potential Threapeutic Applications of Extract Made from Electroporated Xenopus Laevis frog Oocytes in Murine Models of Melanoma, Traumatic Brain Injury and Experimental Skin Wrinkling BAOJPharmSci2016,2:2 2:024.</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Paylian S. Co-electroporation with Xenopus laevis oocytes reprograms normal and cancerous human cells to resembel induced human pluripotent stem cells. BAOJ Cancer Res Ther. 2015;1:1-13. </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w:t>
      </w:r>
      <w:hyperlink r:id="rId20">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Peng GL</w:t>
        </w:r>
      </w:hyperlink>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Platelet-Rich Plasma for Skin Rejuvenation: Facts, Fiction, and Pearls for Practice. </w:t>
      </w:r>
      <w:hyperlink r:id="rId21">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Facial Plast Surg Clin North Am.</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2019 Aug;27(3):405-411. doi: 10.1016/j.fsc.2019.04.006.</w:t>
      </w:r>
    </w:p>
    <w:p w:rsidR="00000000" w:rsidDel="00000000" w:rsidP="00000000" w:rsidRDefault="00000000" w:rsidRPr="00000000">
      <w:pPr>
        <w:keepNext w:val="0"/>
        <w:keepLines w:val="0"/>
        <w:widowControl w:val="1"/>
        <w:numPr>
          <w:ilvl w:val="0"/>
          <w:numId w:val="1"/>
        </w:numPr>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360" w:right="0" w:hanging="360"/>
        <w:jc w:val="left"/>
        <w:rPr>
          <w:rFonts w:ascii="Times New Roman" w:cs="Times New Roman" w:eastAsia="Times New Roman" w:hAnsi="Times New Roman"/>
          <w:b w:val="0"/>
          <w:i w:val="0"/>
          <w:color w:val="000000"/>
          <w:sz w:val="16"/>
          <w:szCs w:val="16"/>
          <w:u w:val="none"/>
        </w:rPr>
      </w:pPr>
      <w:hyperlink r:id="rId22">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Elghblawi E</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Platelet-rich plasma, the ultimate secret for youthful skin elixir and hair growth triggering. </w:t>
      </w:r>
      <w:hyperlink r:id="rId23">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J Cosmet Dermatol.</w:t>
        </w:r>
      </w:hyperlink>
      <w:r w:rsidDel="00000000" w:rsidR="00000000" w:rsidRPr="00000000">
        <w:rPr>
          <w:rFonts w:ascii="Times New Roman" w:cs="Times New Roman" w:eastAsia="Times New Roman" w:hAnsi="Times New Roman"/>
          <w:b w:val="0"/>
          <w:i w:val="0"/>
          <w:smallCaps w:val="0"/>
          <w:strike w:val="0"/>
          <w:color w:val="000000"/>
          <w:sz w:val="16"/>
          <w:szCs w:val="16"/>
          <w:u w:val="none"/>
          <w:vertAlign w:val="baseline"/>
          <w:rtl w:val="0"/>
        </w:rPr>
        <w:t xml:space="preserve"> 2018 Jun;17(3):423-430. doi: 10.1111/jocd.12404. Epub 2017 Sep 8.</w:t>
      </w:r>
    </w: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160" w:before="0" w:line="259" w:lineRule="auto"/>
        <w:ind w:left="0" w:right="0" w:firstLine="0"/>
        <w:contextualSpacing w:val="0"/>
        <w:jc w:val="left"/>
        <w:rPr>
          <w:rFonts w:ascii="Calibri" w:cs="Calibri" w:eastAsia="Calibri" w:hAnsi="Calibri"/>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tabs>
          <w:tab w:val="left" w:pos="384"/>
        </w:tabs>
        <w:spacing w:after="0" w:before="0" w:line="240" w:lineRule="auto"/>
        <w:ind w:left="0" w:right="117" w:firstLine="0"/>
        <w:contextualSpacing w:val="0"/>
        <w:jc w:val="left"/>
        <w:rPr>
          <w:rFonts w:ascii="Questrial" w:cs="Questrial" w:eastAsia="Questrial" w:hAnsi="Questrial"/>
          <w:b w:val="0"/>
          <w:i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00" w:lineRule="auto"/>
        <w:ind w:left="0" w:right="0" w:firstLine="0"/>
        <w:contextualSpacing w:val="0"/>
        <w:jc w:val="both"/>
        <w:rPr>
          <w:rFonts w:ascii="Questrial" w:cs="Questrial" w:eastAsia="Questrial" w:hAnsi="Questrial"/>
          <w:b w:val="0"/>
          <w:i w:val="0"/>
          <w:smallCaps w:val="0"/>
          <w:strike w:val="0"/>
          <w:color w:val="000000"/>
          <w:sz w:val="22"/>
          <w:szCs w:val="22"/>
          <w:u w:val="none"/>
          <w:vertAlign w:val="baseline"/>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   </w:t>
      </w:r>
      <w:r w:rsidDel="00000000" w:rsidR="00000000" w:rsidRPr="00000000">
        <w:rPr>
          <w:rtl w:val="0"/>
        </w:rPr>
      </w:r>
    </w:p>
    <w:p w:rsidR="00000000" w:rsidDel="00000000" w:rsidP="00000000" w:rsidRDefault="00000000" w:rsidRPr="00000000">
      <w:pPr>
        <w:keepNext w:val="0"/>
        <w:keepLines w:val="0"/>
        <w:widowControl w:val="0"/>
        <w:pBdr/>
        <w:spacing w:after="0" w:before="0" w:line="276" w:lineRule="auto"/>
        <w:ind w:left="0" w:right="0" w:firstLine="0"/>
        <w:contextualSpacing w:val="0"/>
        <w:jc w:val="left"/>
        <w:rPr>
          <w:rFonts w:ascii="Questrial" w:cs="Questrial" w:eastAsia="Questrial" w:hAnsi="Questrial"/>
          <w:b w:val="0"/>
          <w:i w:val="0"/>
          <w:smallCaps w:val="0"/>
          <w:strike w:val="0"/>
          <w:color w:val="000000"/>
          <w:sz w:val="22"/>
          <w:szCs w:val="22"/>
          <w:u w:val="none"/>
          <w:vertAlign w:val="baseline"/>
        </w:rPr>
        <w:sectPr>
          <w:headerReference r:id="rId24" w:type="default"/>
          <w:footerReference r:id="rId25" w:type="default"/>
          <w:pgSz w:h="16840" w:w="11920"/>
          <w:pgMar w:bottom="840" w:top="1740" w:left="620" w:right="600" w:header="0"/>
          <w:pgNumType w:start="1"/>
        </w:sectPr>
      </w:pPr>
      <w:r w:rsidDel="00000000" w:rsidR="00000000" w:rsidRPr="00000000">
        <w:br w:type="page"/>
      </w: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40" w:lineRule="auto"/>
        <w:ind w:left="0" w:right="0" w:firstLine="0"/>
        <w:contextualSpacing w:val="0"/>
        <w:jc w:val="left"/>
        <w:rPr>
          <w:rFonts w:ascii="Calibri" w:cs="Calibri" w:eastAsia="Calibri" w:hAnsi="Calibri"/>
          <w:b w:val="0"/>
          <w:i w:val="0"/>
          <w:smallCaps w:val="0"/>
          <w:strike w:val="0"/>
          <w:color w:val="000000"/>
          <w:sz w:val="20"/>
          <w:szCs w:val="20"/>
          <w:u w:val="none"/>
          <w:vertAlign w:val="baseline"/>
        </w:rPr>
      </w:pP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margin">
              <wp:posOffset>44448</wp:posOffset>
            </wp:positionH>
            <wp:positionV relativeFrom="paragraph">
              <wp:posOffset>28278</wp:posOffset>
            </wp:positionV>
            <wp:extent cx="785256" cy="588943"/>
            <wp:effectExtent b="0" l="0" r="0" t="0"/>
            <wp:wrapSquare wrapText="bothSides" distB="152400" distT="152400" distL="152400" distR="152400"/>
            <wp:docPr descr="pasted-image.tiff" id="1073741842" name="image9.png"/>
            <a:graphic>
              <a:graphicData uri="http://schemas.openxmlformats.org/drawingml/2006/picture">
                <pic:pic>
                  <pic:nvPicPr>
                    <pic:cNvPr descr="pasted-image.tiff" id="0" name="image9.png"/>
                    <pic:cNvPicPr preferRelativeResize="0"/>
                  </pic:nvPicPr>
                  <pic:blipFill>
                    <a:blip r:embed="rId26"/>
                    <a:srcRect b="0" l="0" r="0" t="0"/>
                    <a:stretch>
                      <a:fillRect/>
                    </a:stretch>
                  </pic:blipFill>
                  <pic:spPr>
                    <a:xfrm>
                      <a:off x="0" y="0"/>
                      <a:ext cx="785256" cy="588943"/>
                    </a:xfrm>
                    <a:prstGeom prst="rect"/>
                    <a:ln/>
                  </pic:spPr>
                </pic:pic>
              </a:graphicData>
            </a:graphic>
          </wp:anchor>
        </w:drawing>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40" w:lineRule="auto"/>
        <w:ind w:left="2202" w:right="0" w:firstLine="0"/>
        <w:contextualSpacing w:val="0"/>
        <w:jc w:val="left"/>
        <w:rPr>
          <w:rFonts w:ascii="Calibri" w:cs="Calibri" w:eastAsia="Calibri" w:hAnsi="Calibri"/>
          <w:b w:val="0"/>
          <w:i w:val="0"/>
          <w:smallCaps w:val="0"/>
          <w:strike w:val="0"/>
          <w:color w:val="000000"/>
          <w:sz w:val="4"/>
          <w:szCs w:val="4"/>
          <w:u w:val="none"/>
          <w:vertAlign w:val="baseline"/>
        </w:rPr>
      </w:pPr>
      <w:r w:rsidDel="00000000" w:rsidR="00000000" w:rsidRPr="00000000">
        <mc:AlternateContent>
          <mc:Choice Requires="wps">
            <w:drawing>
              <wp:inline distB="0" distT="0" distL="0" distR="0">
                <wp:extent cx="3950335" cy="0"/>
                <wp:effectExtent b="12700" l="0" r="0" t="12700"/>
                <wp:docPr id="1073741840" name=""/>
                <a:graphic>
                  <a:graphicData uri="http://schemas.microsoft.com/office/word/2010/wordprocessingShape">
                    <wps:wsp>
                      <wps:cNvSpPr/>
                      <wps:spPr>
                        <a:xfrm>
                          <a:off x="0" y="0"/>
                          <a:ext cx="3950335" cy="0"/>
                        </a:xfrm>
                        <a:prstGeom prst="line">
                          <a:avLst/>
                        </a:prstGeom>
                        <a:noFill/>
                        <a:ln cap="flat" w="25400">
                          <a:solidFill>
                            <a:srgbClr val="004080"/>
                          </a:solidFill>
                          <a:prstDash val="solid"/>
                          <a:round/>
                        </a:ln>
                        <a:effectLst/>
                      </wps:spPr>
                      <wps:bodyPr/>
                    </wps:wsp>
                  </a:graphicData>
                </a:graphic>
              </wp:inline>
            </w:drawing>
          </mc:Choice>
          <mc:Fallback>
            <w:drawing>
              <wp:inline distB="0" distT="0" distL="0" distR="0">
                <wp:extent cx="3950335" cy="25400"/>
                <wp:effectExtent b="0" l="0" r="0" t="0"/>
                <wp:docPr id="1073741840" name="image7.png"/>
                <a:graphic>
                  <a:graphicData uri="http://schemas.openxmlformats.org/drawingml/2006/picture">
                    <pic:pic>
                      <pic:nvPicPr>
                        <pic:cNvPr id="0" name="image7.png"/>
                        <pic:cNvPicPr preferRelativeResize="0"/>
                      </pic:nvPicPr>
                      <pic:blipFill>
                        <a:blip r:embed="rId27"/>
                        <a:srcRect b="0" l="0" r="0" t="0"/>
                        <a:stretch>
                          <a:fillRect/>
                        </a:stretch>
                      </pic:blipFill>
                      <pic:spPr>
                        <a:xfrm>
                          <a:off x="0" y="0"/>
                          <a:ext cx="3950335" cy="25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92" w:line="240" w:lineRule="auto"/>
        <w:ind w:left="0" w:right="4234" w:firstLine="0"/>
        <w:contextualSpacing w:val="0"/>
        <w:jc w:val="left"/>
        <w:rPr>
          <w:rFonts w:ascii="Arial" w:cs="Arial" w:eastAsia="Arial" w:hAnsi="Arial"/>
          <w:b w:val="0"/>
          <w:i w:val="0"/>
          <w:smallCaps w:val="0"/>
          <w:strike w:val="0"/>
          <w:color w:val="000000"/>
          <w:sz w:val="22"/>
          <w:szCs w:val="22"/>
          <w:u w:val="none"/>
          <w:vertAlign w:val="baseline"/>
        </w:rPr>
      </w:pPr>
      <w:r w:rsidDel="00000000" w:rsidR="00000000" w:rsidRPr="00000000">
        <w:rPr>
          <w:rFonts w:ascii="Questrial" w:cs="Questrial" w:eastAsia="Questrial" w:hAnsi="Questrial"/>
          <w:b w:val="0"/>
          <w:i w:val="0"/>
          <w:smallCaps w:val="0"/>
          <w:strike w:val="0"/>
          <w:color w:val="000000"/>
          <w:sz w:val="22"/>
          <w:szCs w:val="22"/>
          <w:u w:val="none"/>
          <w:vertAlign w:val="baseline"/>
          <w:rtl w:val="0"/>
        </w:rPr>
        <w:t xml:space="preserve">              </w:t>
      </w:r>
      <w:r w:rsidDel="00000000" w:rsidR="00000000" w:rsidRPr="00000000">
        <w:rPr>
          <w:rFonts w:ascii="Arial" w:cs="Arial" w:eastAsia="Arial" w:hAnsi="Arial"/>
          <w:b w:val="0"/>
          <w:i w:val="0"/>
          <w:smallCaps w:val="0"/>
          <w:strike w:val="0"/>
          <w:color w:val="bf5a14"/>
          <w:sz w:val="22"/>
          <w:szCs w:val="22"/>
          <w:u w:val="none"/>
          <w:vertAlign w:val="baseline"/>
          <w:rtl w:val="0"/>
        </w:rPr>
        <w:t xml:space="preserve">Biography (150 word limit)</w:t>
      </w: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41" w:line="154.00000000000003" w:lineRule="auto"/>
        <w:ind w:left="213" w:right="231" w:firstLine="0"/>
        <w:contextualSpacing w:val="0"/>
        <w:jc w:val="both"/>
        <w:rPr>
          <w:rFonts w:ascii="Arial" w:cs="Arial" w:eastAsia="Arial" w:hAnsi="Arial"/>
          <w:b w:val="0"/>
          <w:i w:val="0"/>
          <w:smallCaps w:val="0"/>
          <w:strike w:val="0"/>
          <w:color w:val="000000"/>
          <w:sz w:val="14"/>
          <w:szCs w:val="14"/>
          <w:u w:val="none"/>
          <w:vertAlign w:val="baseline"/>
        </w:rPr>
      </w:pPr>
      <w:r w:rsidDel="00000000" w:rsidR="00000000" w:rsidRPr="00000000">
        <w:rPr>
          <w:rFonts w:ascii="Arial" w:cs="Arial" w:eastAsia="Arial" w:hAnsi="Arial"/>
          <w:b w:val="0"/>
          <w:i w:val="0"/>
          <w:smallCaps w:val="0"/>
          <w:strike w:val="0"/>
          <w:color w:val="000000"/>
          <w:sz w:val="14"/>
          <w:szCs w:val="14"/>
          <w:u w:val="none"/>
          <w:vertAlign w:val="baseline"/>
          <w:rtl w:val="0"/>
        </w:rPr>
        <w:t xml:space="preserve">Dr. Dr. Osorio is an innovative businessman with a distinct entrepreneurial mindset concentrated adding value on areas of Biotechnology (mRNA), Reprogramming &amp; Regenerative Medicine for translational use in humans and a variety of clinical applications aimed for both the private and the public health sectors. Dr. Osorio is the Founder, President, and CEO of RegenerAge Clinic and RegenerAge Beauty initiatives for transnational implementations. Vice President and International Clinical Developer for Bioquark, Inc. Executive Vice President: Chairman of the WAMS Americas Division, member of the WAMS Executive Council (WAMS Executive Board), a member of the WAMS Education &amp; Training Board (ETB), a member of the WAMS Editorial Board, an Honorary Member of the Academy Faculty FWAMS, an Honorary Fellow of the Academy &amp; is also a Senior Partner at WAMS, The World Academy of Medical Sciences.</w:t>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41" w:line="154.00000000000003" w:lineRule="auto"/>
        <w:ind w:left="213" w:right="231" w:firstLine="0"/>
        <w:contextualSpacing w:val="0"/>
        <w:jc w:val="both"/>
        <w:rPr>
          <w:rFonts w:ascii="Arial" w:cs="Arial" w:eastAsia="Arial" w:hAnsi="Arial"/>
          <w:b w:val="0"/>
          <w:i w:val="0"/>
          <w:smallCaps w:val="0"/>
          <w:strike w:val="0"/>
          <w:color w:val="000000"/>
          <w:sz w:val="14"/>
          <w:szCs w:val="14"/>
          <w:u w:val="none"/>
          <w:vertAlign w:val="baseline"/>
        </w:rPr>
      </w:pPr>
      <w:r w:rsidDel="00000000" w:rsidR="00000000" w:rsidRPr="00000000">
        <w:rPr>
          <w:rFonts w:ascii="Arial" w:cs="Arial" w:eastAsia="Arial" w:hAnsi="Arial"/>
          <w:b w:val="0"/>
          <w:i w:val="0"/>
          <w:smallCaps w:val="0"/>
          <w:strike w:val="0"/>
          <w:color w:val="000000"/>
          <w:sz w:val="14"/>
          <w:szCs w:val="14"/>
          <w:u w:val="none"/>
          <w:vertAlign w:val="baseline"/>
          <w:rtl w:val="0"/>
        </w:rPr>
        <w:t xml:space="preserve">                                                                                                            Email: </w:t>
      </w:r>
      <w:hyperlink r:id="rId28">
        <w:r w:rsidDel="00000000" w:rsidR="00000000" w:rsidRPr="00000000">
          <w:rPr>
            <w:rFonts w:ascii="Questrial" w:cs="Questrial" w:eastAsia="Questrial" w:hAnsi="Questrial"/>
            <w:b w:val="0"/>
            <w:i w:val="0"/>
            <w:smallCaps w:val="0"/>
            <w:strike w:val="0"/>
            <w:color w:val="000000"/>
            <w:sz w:val="16"/>
            <w:szCs w:val="16"/>
            <w:u w:val="single"/>
            <w:vertAlign w:val="baseline"/>
            <w:rtl w:val="0"/>
          </w:rPr>
          <w:t xml:space="preserve">drosorio@regenerage.clinic</w:t>
        </w:r>
      </w:hyperlink>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2" w:line="240" w:lineRule="auto"/>
        <w:ind w:left="0" w:right="0" w:firstLine="0"/>
        <w:contextualSpacing w:val="0"/>
        <w:jc w:val="left"/>
        <w:rPr>
          <w:rFonts w:ascii="EB Garamond" w:cs="EB Garamond" w:eastAsia="EB Garamond" w:hAnsi="EB Garamond"/>
          <w:b w:val="1"/>
          <w:i w:val="0"/>
          <w:smallCaps w:val="0"/>
          <w:strike w:val="0"/>
          <w:color w:val="000000"/>
          <w:sz w:val="20"/>
          <w:szCs w:val="20"/>
          <w:u w:val="none"/>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margin">
                  <wp:posOffset>1671320</wp:posOffset>
                </wp:positionH>
                <wp:positionV relativeFrom="paragraph">
                  <wp:posOffset>161925</wp:posOffset>
                </wp:positionV>
                <wp:extent cx="3442335" cy="0"/>
                <wp:effectExtent b="3175" l="0" r="0" t="3175"/>
                <wp:wrapTopAndBottom distB="0" distT="0"/>
                <wp:docPr id="1073741838" name=""/>
                <a:graphic>
                  <a:graphicData uri="http://schemas.microsoft.com/office/word/2010/wordprocessingShape">
                    <wps:wsp>
                      <wps:cNvSpPr/>
                      <wps:spPr>
                        <a:xfrm>
                          <a:off x="0" y="0"/>
                          <a:ext cx="3442335" cy="0"/>
                        </a:xfrm>
                        <a:prstGeom prst="line">
                          <a:avLst/>
                        </a:prstGeom>
                        <a:noFill/>
                        <a:ln cap="flat" w="6350">
                          <a:solidFill>
                            <a:srgbClr val="004080"/>
                          </a:solidFill>
                          <a:prstDash val="solid"/>
                          <a:round/>
                        </a:ln>
                        <a:effectLst/>
                      </wps:spPr>
                      <wps:bodyPr/>
                    </wps:wsp>
                  </a:graphicData>
                </a:graphic>
              </wp:anchor>
            </w:drawing>
          </mc:Choice>
          <mc:Fallback>
            <w:drawing>
              <wp:anchor allowOverlap="1" behindDoc="0" distB="0" distT="0" distL="0" distR="0" hidden="0" layoutInCell="1" locked="0" relativeHeight="0" simplePos="0">
                <wp:simplePos x="0" y="0"/>
                <wp:positionH relativeFrom="margin">
                  <wp:posOffset>1671320</wp:posOffset>
                </wp:positionH>
                <wp:positionV relativeFrom="paragraph">
                  <wp:posOffset>161925</wp:posOffset>
                </wp:positionV>
                <wp:extent cx="3442335" cy="6350"/>
                <wp:effectExtent b="0" l="0" r="0" t="0"/>
                <wp:wrapTopAndBottom distB="0" distT="0"/>
                <wp:docPr id="1073741838" name="image5.png"/>
                <a:graphic>
                  <a:graphicData uri="http://schemas.openxmlformats.org/drawingml/2006/picture">
                    <pic:pic>
                      <pic:nvPicPr>
                        <pic:cNvPr id="0" name="image5.png"/>
                        <pic:cNvPicPr preferRelativeResize="0"/>
                      </pic:nvPicPr>
                      <pic:blipFill>
                        <a:blip r:embed="rId29"/>
                        <a:srcRect b="0" l="0" r="0" t="0"/>
                        <a:stretch>
                          <a:fillRect/>
                        </a:stretch>
                      </pic:blipFill>
                      <pic:spPr>
                        <a:xfrm>
                          <a:off x="0" y="0"/>
                          <a:ext cx="3442335" cy="6350"/>
                        </a:xfrm>
                        <a:prstGeom prst="rect"/>
                        <a:ln/>
                      </pic:spPr>
                    </pic:pic>
                  </a:graphicData>
                </a:graphic>
              </wp:anchor>
            </w:drawing>
          </mc:Fallback>
        </mc:AlternateContent>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39" w:line="240" w:lineRule="auto"/>
        <w:ind w:left="100" w:right="0" w:firstLine="0"/>
        <w:contextualSpacing w:val="0"/>
        <w:jc w:val="left"/>
        <w:rPr>
          <w:rFonts w:ascii="EB Garamond" w:cs="EB Garamond" w:eastAsia="EB Garamond" w:hAnsi="EB Garamond"/>
          <w:b w:val="1"/>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39" w:line="240" w:lineRule="auto"/>
        <w:ind w:left="100" w:right="0" w:firstLine="0"/>
        <w:contextualSpacing w:val="0"/>
        <w:jc w:val="left"/>
        <w:rPr>
          <w:rFonts w:ascii="EB Garamond" w:cs="EB Garamond" w:eastAsia="EB Garamond" w:hAnsi="EB Garamond"/>
          <w:b w:val="1"/>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39" w:line="240" w:lineRule="auto"/>
        <w:ind w:left="100" w:right="0" w:firstLine="0"/>
        <w:contextualSpacing w:val="0"/>
        <w:jc w:val="left"/>
        <w:rPr>
          <w:rFonts w:ascii="EB Garamond" w:cs="EB Garamond" w:eastAsia="EB Garamond" w:hAnsi="EB Garamond"/>
          <w:b w:val="1"/>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39" w:line="240" w:lineRule="auto"/>
        <w:ind w:left="100" w:right="0" w:firstLine="0"/>
        <w:contextualSpacing w:val="0"/>
        <w:jc w:val="left"/>
        <w:rPr>
          <w:rFonts w:ascii="EB Garamond" w:cs="EB Garamond" w:eastAsia="EB Garamond" w:hAnsi="EB Garamond"/>
          <w:b w:val="1"/>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39" w:line="240" w:lineRule="auto"/>
        <w:ind w:left="100" w:right="0" w:firstLine="0"/>
        <w:contextualSpacing w:val="0"/>
        <w:jc w:val="left"/>
        <w:rPr>
          <w:rFonts w:ascii="EB Garamond" w:cs="EB Garamond" w:eastAsia="EB Garamond" w:hAnsi="EB Garamond"/>
          <w:b w:val="1"/>
          <w:i w:val="0"/>
          <w:smallCaps w:val="0"/>
          <w:strike w:val="0"/>
          <w:color w:val="000000"/>
          <w:sz w:val="20"/>
          <w:szCs w:val="20"/>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40" w:lineRule="auto"/>
        <w:ind w:left="0" w:right="0" w:firstLine="0"/>
        <w:contextualSpacing w:val="0"/>
        <w:jc w:val="left"/>
        <w:rPr>
          <w:rFonts w:ascii="Questrial" w:cs="Questrial" w:eastAsia="Questrial" w:hAnsi="Questrial"/>
          <w:b w:val="0"/>
          <w:i w:val="0"/>
          <w:smallCaps w:val="0"/>
          <w:strike w:val="0"/>
          <w:color w:val="000000"/>
          <w:sz w:val="22"/>
          <w:szCs w:val="22"/>
          <w:u w:val="none"/>
          <w:vertAlign w:val="baseline"/>
        </w:rPr>
      </w:pPr>
      <w:r w:rsidDel="00000000" w:rsidR="00000000" w:rsidRPr="00000000">
        <w:br w:type="page"/>
      </w:r>
      <w:r w:rsidDel="00000000" w:rsidR="00000000" w:rsidRPr="00000000">
        <w:rPr>
          <w:rtl w:val="0"/>
        </w:rPr>
      </w:r>
    </w:p>
    <w:sectPr>
      <w:type w:val="continuous"/>
      <w:pgSz w:h="16840" w:w="11920"/>
      <w:pgMar w:bottom="840" w:top="1740" w:left="620" w:right="600" w:head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Arial"/>
  <w:font w:name="Georgia"/>
  <w:font w:name="Helvetica Neue"/>
  <w:font w:name="Questrial"/>
  <w:font w:name="Calibri"/>
  <w:font w:name="EB Garamond"/>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tabs>
        <w:tab w:val="right" w:pos="9020"/>
      </w:tabs>
      <w:spacing w:after="642" w:before="0" w:line="24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541" w:line="14" w:lineRule="auto"/>
      <w:ind w:left="0" w:right="0" w:firstLine="0"/>
      <w:contextualSpacing w:val="0"/>
      <w:jc w:val="left"/>
      <w:rPr>
        <w:rFonts w:ascii="Questrial" w:cs="Questrial" w:eastAsia="Questrial" w:hAnsi="Questrial"/>
        <w:b w:val="0"/>
        <w:i w:val="0"/>
        <w:smallCaps w:val="0"/>
        <w:strike w:val="0"/>
        <w:color w:val="000000"/>
        <w:sz w:val="18"/>
        <w:szCs w:val="18"/>
        <w:u w:val="none"/>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margin">
                <wp:posOffset>4889498</wp:posOffset>
              </wp:positionH>
              <wp:positionV relativeFrom="paragraph">
                <wp:posOffset>0</wp:posOffset>
              </wp:positionV>
              <wp:extent cx="1832612" cy="220980"/>
              <wp:effectExtent b="0" l="0" r="0" t="0"/>
              <wp:wrapNone/>
              <wp:docPr id="1073741841" name=""/>
              <a:graphic>
                <a:graphicData uri="http://schemas.microsoft.com/office/word/2010/wordprocessingShape">
                  <wps:wsp>
                    <wps:cNvSpPr txBox="1"/>
                    <wps:spPr>
                      <a:xfrm>
                        <a:off x="0" y="0"/>
                        <a:ext cx="1832612" cy="220980"/>
                      </a:xfrm>
                      <a:prstGeom prst="rect">
                        <a:avLst/>
                      </a:prstGeom>
                      <a:noFill/>
                      <a:ln cap="flat" w="12700">
                        <a:noFill/>
                        <a:miter lim="400000"/>
                      </a:ln>
                      <a:effectLst/>
                    </wps:spPr>
                    <wps:txbx>
                      <w:txbxContent>
                        <w:p w:rsidR="00000000" w:rsidDel="00000000" w:rsidP="00000000" w:rsidRDefault="00000000" w:rsidRPr="00000000">
                          <w:pPr>
                            <w:pStyle w:val="Body A"/>
                            <w:spacing w:before="2" w:line="249" w:lineRule="auto"/>
                            <w:ind w:left="156" w:right="18" w:hanging="137"/>
                          </w:pPr>
                          <w:r w:rsidDel="00000000" w:rsidR="00000000" w:rsidRPr="00000000">
                            <w:rPr>
                              <w:rFonts w:ascii="Arial" w:hAnsi="Arial"/>
                              <w:color w:val="ffffff"/>
                              <w:sz w:val="14"/>
                              <w:szCs w:val="14"/>
                              <w:u w:color="ffffff"/>
                              <w:rtl w:val="0"/>
                            </w:rPr>
                            <w:t xml:space="preserve">T Furuta et al., J Pai n Relief 2016, 5:3(Suppl) </w:t>
                          </w:r>
                          <w:r w:rsidDel="00000000" w:rsidR="00000000" w:rsidRPr="00000000">
                            <w:rPr>
                              <w:rStyle w:val="Hyperlink.0"/>
                            </w:rPr>
                            <w:fldChar w:fldCharType="begin"/>
                          </w:r>
                          <w:r w:rsidDel="00000000" w:rsidR="00000000" w:rsidRPr="00000000">
                            <w:rPr>
                              <w:rStyle w:val="Hyperlink.0"/>
                            </w:rPr>
                            <w:instrText xml:space="preserve"> HYPERLINK "http://dx.doi.org/10.4172/2167-0846.C1.006"</w:instrText>
                          </w:r>
                          <w:r w:rsidDel="00000000" w:rsidR="00000000" w:rsidRPr="00000000">
                            <w:rPr>
                              <w:rStyle w:val="Hyperlink.0"/>
                            </w:rPr>
                            <w:fldChar w:fldCharType="separate"/>
                          </w:r>
                          <w:r w:rsidDel="00000000" w:rsidR="00000000" w:rsidRPr="00000000">
                            <w:rPr>
                              <w:rStyle w:val="Hyperlink.0"/>
                              <w:rtl w:val="0"/>
                              <w:lang w:val="en-US"/>
                            </w:rPr>
                            <w:t>http://dx.doi.org/10.4172/2167-0846.C1.006</w:t>
                          </w:r>
                          <w:r w:rsidDel="00000000" w:rsidR="00000000" w:rsidRPr="00000000">
                            <w:rPr/>
                            <w:fldChar w:fldCharType="end"/>
                          </w:r>
                        </w:p>
                      </w:txbxContent>
                    </wps:txbx>
                    <wps:bodyPr anchor="t" bIns="0" lIns="0" numCol="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margin">
                <wp:posOffset>4889498</wp:posOffset>
              </wp:positionH>
              <wp:positionV relativeFrom="paragraph">
                <wp:posOffset>0</wp:posOffset>
              </wp:positionV>
              <wp:extent cx="1832612" cy="220980"/>
              <wp:effectExtent b="0" l="0" r="0" t="0"/>
              <wp:wrapSquare wrapText="bothSides" distB="0" distT="0" distL="0" distR="0"/>
              <wp:docPr id="1073741841"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832612" cy="220980"/>
                      </a:xfrm>
                      <a:prstGeom prst="rect"/>
                      <a:ln/>
                    </pic:spPr>
                  </pic:pic>
                </a:graphicData>
              </a:graphic>
            </wp:anchor>
          </w:drawing>
        </mc:Fallback>
      </mc:AlternateContent>
    </w:r>
    <w:r w:rsidDel="00000000" w:rsidR="00000000" w:rsidRPr="00000000">
      <mc:AlternateContent>
        <mc:Choice Requires="wps">
          <w:drawing>
            <wp:anchor allowOverlap="1" behindDoc="1" distB="0" distT="0" distL="0" distR="0" hidden="0" layoutInCell="1" locked="0" relativeHeight="0" simplePos="0">
              <wp:simplePos x="0" y="0"/>
              <wp:positionH relativeFrom="margin">
                <wp:posOffset>50799</wp:posOffset>
              </wp:positionH>
              <wp:positionV relativeFrom="paragraph">
                <wp:posOffset>282574</wp:posOffset>
              </wp:positionV>
              <wp:extent cx="6552566" cy="509270"/>
              <wp:effectExtent b="0" l="0" r="0" t="0"/>
              <wp:wrapNone/>
              <wp:docPr id="1073741839" name=""/>
              <a:graphic>
                <a:graphicData uri="http://schemas.microsoft.com/office/word/2010/wordprocessingShape">
                  <wps:wsp>
                    <wps:cNvSpPr txBox="1"/>
                    <wps:spPr>
                      <a:xfrm>
                        <a:off x="0" y="0"/>
                        <a:ext cx="6552566" cy="509270"/>
                      </a:xfrm>
                      <a:prstGeom prst="rect">
                        <a:avLst/>
                      </a:prstGeom>
                      <a:noFill/>
                      <a:ln cap="flat" w="12700">
                        <a:noFill/>
                        <a:miter lim="400000"/>
                      </a:ln>
                      <a:effectLst/>
                    </wps:spPr>
                    <wps:txbx>
                      <w:txbxContent>
                        <w:p w:rsidR="00000000" w:rsidDel="00000000" w:rsidP="00000000" w:rsidRDefault="00000000" w:rsidRPr="00000000">
                          <w:pPr>
                            <w:pStyle w:val="Body Text"/>
                            <w:spacing w:line="187" w:lineRule="exact"/>
                            <w:ind w:left="20" w:firstLine="0"/>
                            <w:rPr>
                              <w:rStyle w:val="None"/>
                              <w:rFonts w:ascii="Myriad Pro" w:cs="Myriad Pro" w:eastAsia="Myriad Pro" w:hAnsi="Myriad Pro"/>
                              <w:color w:val="ffffff"/>
                              <w:u w:color="ffffff"/>
                            </w:rPr>
                          </w:pPr>
                          <w:r w:rsidDel="00000000" w:rsidR="00000000" w:rsidRPr="00000000">
                            <w:rPr>
                              <w:rStyle w:val="None"/>
                              <w:rFonts w:ascii="Myriad Pro" w:hAnsi="Myriad Pro"/>
                              <w:color w:val="ffffff"/>
                              <w:u w:color="ffffff"/>
                              <w:rtl w:val="0"/>
                              <w:lang w:val="en-US"/>
                            </w:rPr>
                            <w:t>International Conference on</w:t>
                          </w:r>
                        </w:p>
                        <w:p w:rsidR="00000000" w:rsidDel="00000000" w:rsidP="00000000" w:rsidRDefault="00000000" w:rsidRPr="00000000">
                          <w:pPr>
                            <w:pStyle w:val="Body A"/>
                            <w:spacing w:line="614" w:lineRule="exact"/>
                            <w:ind w:left="20" w:firstLine="0"/>
                          </w:pPr>
                          <w:r w:rsidDel="00000000" w:rsidR="00000000" w:rsidRPr="00000000">
                            <w:rPr>
                              <w:rStyle w:val="None"/>
                              <w:rFonts w:ascii="Impact" w:hAnsi="Impact"/>
                              <w:color w:val="ffffff"/>
                              <w:sz w:val="52"/>
                              <w:szCs w:val="52"/>
                              <w:u w:color="ffffff"/>
                              <w:rtl w:val="0"/>
                              <w:lang w:val="en-US"/>
                            </w:rPr>
                            <w:t xml:space="preserve">Fibromyalgia and Chronic Pain </w:t>
                          </w:r>
                          <w:r w:rsidDel="00000000" w:rsidR="00000000" w:rsidRPr="00000000">
                            <w:rPr>
                              <w:rStyle w:val="None"/>
                              <w:rFonts w:ascii="Minion Pro" w:hAnsi="Minion Pro"/>
                              <w:color w:val="ffffff"/>
                              <w:sz w:val="24"/>
                              <w:szCs w:val="24"/>
                              <w:u w:color="ffffff"/>
                              <w:rtl w:val="0"/>
                              <w:lang w:val="en-US"/>
                            </w:rPr>
                            <w:t>(June 15-16, 2016   Philadelphia, USA)</w:t>
                          </w:r>
                        </w:p>
                      </w:txbxContent>
                    </wps:txbx>
                    <wps:bodyPr anchor="t" bIns="0" lIns="0" numCol="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margin">
                <wp:posOffset>50799</wp:posOffset>
              </wp:positionH>
              <wp:positionV relativeFrom="paragraph">
                <wp:posOffset>282574</wp:posOffset>
              </wp:positionV>
              <wp:extent cx="6552566" cy="509270"/>
              <wp:effectExtent b="0" l="0" r="0" t="0"/>
              <wp:wrapSquare wrapText="bothSides" distB="0" distT="0" distL="0" distR="0"/>
              <wp:docPr id="1073741839"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6552566" cy="50927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360" w:firstLine="0"/>
      </w:pPr>
      <w:rPr>
        <w:smallCaps w:val="0"/>
        <w:strike w:val="0"/>
        <w:vertAlign w:val="baseline"/>
      </w:rPr>
    </w:lvl>
    <w:lvl w:ilvl="1">
      <w:start w:val="1"/>
      <w:numFmt w:val="lowerLetter"/>
      <w:lvlText w:val="%2."/>
      <w:lvlJc w:val="left"/>
      <w:pPr>
        <w:ind w:left="982" w:firstLine="720"/>
      </w:pPr>
      <w:rPr>
        <w:smallCaps w:val="0"/>
        <w:strike w:val="0"/>
        <w:vertAlign w:val="baseline"/>
      </w:rPr>
    </w:lvl>
    <w:lvl w:ilvl="2">
      <w:start w:val="1"/>
      <w:numFmt w:val="lowerRoman"/>
      <w:lvlText w:val="%3."/>
      <w:lvlJc w:val="left"/>
      <w:pPr>
        <w:ind w:left="1725" w:firstLine="1524"/>
      </w:pPr>
      <w:rPr>
        <w:smallCaps w:val="0"/>
        <w:strike w:val="0"/>
        <w:vertAlign w:val="baseline"/>
      </w:rPr>
    </w:lvl>
    <w:lvl w:ilvl="3">
      <w:start w:val="1"/>
      <w:numFmt w:val="decimal"/>
      <w:lvlText w:val="%4."/>
      <w:lvlJc w:val="left"/>
      <w:pPr>
        <w:ind w:left="2422" w:firstLine="2160"/>
      </w:pPr>
      <w:rPr>
        <w:smallCaps w:val="0"/>
        <w:strike w:val="0"/>
        <w:vertAlign w:val="baseline"/>
      </w:rPr>
    </w:lvl>
    <w:lvl w:ilvl="4">
      <w:start w:val="1"/>
      <w:numFmt w:val="lowerLetter"/>
      <w:lvlText w:val="%5."/>
      <w:lvlJc w:val="left"/>
      <w:pPr>
        <w:ind w:left="3142" w:firstLine="2880"/>
      </w:pPr>
      <w:rPr>
        <w:smallCaps w:val="0"/>
        <w:strike w:val="0"/>
        <w:vertAlign w:val="baseline"/>
      </w:rPr>
    </w:lvl>
    <w:lvl w:ilvl="5">
      <w:start w:val="1"/>
      <w:numFmt w:val="lowerRoman"/>
      <w:lvlText w:val="%6."/>
      <w:lvlJc w:val="left"/>
      <w:pPr>
        <w:ind w:left="3885" w:firstLine="3684"/>
      </w:pPr>
      <w:rPr>
        <w:smallCaps w:val="0"/>
        <w:strike w:val="0"/>
        <w:vertAlign w:val="baseline"/>
      </w:rPr>
    </w:lvl>
    <w:lvl w:ilvl="6">
      <w:start w:val="1"/>
      <w:numFmt w:val="decimal"/>
      <w:lvlText w:val="%7."/>
      <w:lvlJc w:val="left"/>
      <w:pPr>
        <w:ind w:left="4582" w:firstLine="4320"/>
      </w:pPr>
      <w:rPr>
        <w:smallCaps w:val="0"/>
        <w:strike w:val="0"/>
        <w:vertAlign w:val="baseline"/>
      </w:rPr>
    </w:lvl>
    <w:lvl w:ilvl="7">
      <w:start w:val="1"/>
      <w:numFmt w:val="lowerLetter"/>
      <w:lvlText w:val="%8."/>
      <w:lvlJc w:val="left"/>
      <w:pPr>
        <w:ind w:left="5302" w:firstLine="5040.000000000001"/>
      </w:pPr>
      <w:rPr>
        <w:smallCaps w:val="0"/>
        <w:strike w:val="0"/>
        <w:vertAlign w:val="baseline"/>
      </w:rPr>
    </w:lvl>
    <w:lvl w:ilvl="8">
      <w:start w:val="1"/>
      <w:numFmt w:val="lowerRoman"/>
      <w:lvlText w:val="%9."/>
      <w:lvlJc w:val="left"/>
      <w:pPr>
        <w:ind w:left="6045" w:firstLine="5844"/>
      </w:pPr>
      <w:rPr>
        <w:smallCaps w:val="0"/>
        <w:strike w:val="0"/>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rPr>
    </w:rPrDefault>
    <w:pPrDefault>
      <w:pPr>
        <w:keepNext w:val="0"/>
        <w:keepLines w:val="0"/>
        <w:widowControl w:val="1"/>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0"/>
      <w:keepLines w:val="0"/>
      <w:widowControl w:val="0"/>
      <w:pBdr>
        <w:top w:color="auto" w:space="0" w:sz="2" w:val="single"/>
        <w:left w:color="auto" w:space="0" w:sz="2" w:val="single"/>
        <w:bottom w:color="auto" w:space="0" w:sz="2" w:val="single"/>
        <w:right w:color="auto" w:space="0" w:sz="2" w:val="single"/>
        <w:between w:color="auto" w:space="0" w:sz="2" w:val="single"/>
      </w:pBdr>
      <w:shd w:fill="ffffff" w:val="clear"/>
      <w:spacing w:after="0" w:before="0" w:line="240" w:lineRule="auto"/>
      <w:ind w:left="100" w:right="0" w:firstLine="0"/>
      <w:jc w:val="left"/>
    </w:pPr>
    <w:rPr>
      <w:rFonts w:ascii="Arial" w:cs="Arial" w:eastAsia="Arial" w:hAnsi="Arial"/>
      <w:b w:val="1"/>
      <w:i w:val="0"/>
      <w:smallCaps w:val="0"/>
      <w:strike w:val="0"/>
      <w:color w:val="000000"/>
      <w:sz w:val="20"/>
      <w:szCs w:val="20"/>
      <w:u w:val="none"/>
      <w:vertAlign w:val="baseline"/>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Body Text">
    <w:name w:val="Body Text"/>
    <w:next w:val="Body Text"/>
    <w:pPr>
      <w:keepNext w:val="0"/>
      <w:keepLines w:val="0"/>
      <w:pageBreakBefore w:val="0"/>
      <w:widowControl w:val="0"/>
      <w:shd w:color="auto" w:fill="auto" w:val="clear"/>
      <w:suppressAutoHyphens w:val="0"/>
      <w:bidi w:val="0"/>
      <w:spacing w:after="0" w:before="0" w:line="240" w:lineRule="auto"/>
      <w:ind w:left="0" w:right="0" w:firstLine="0"/>
      <w:jc w:val="left"/>
      <w:outlineLvl w:val="9"/>
    </w:pPr>
    <w:rPr>
      <w:rFonts w:ascii="Tw Cen MT" w:cs="Arial Unicode MS" w:eastAsia="Arial Unicode MS" w:hAnsi="Tw Cen MT"/>
      <w:b w:val="0"/>
      <w:bCs w:val="0"/>
      <w:i w:val="0"/>
      <w:iCs w:val="0"/>
      <w:caps w:val="0"/>
      <w:smallCaps w:val="0"/>
      <w:strike w:val="0"/>
      <w:dstrike w:val="0"/>
      <w:outline w:val="0"/>
      <w:color w:val="000000"/>
      <w:spacing w:val="0"/>
      <w:kern w:val="0"/>
      <w:position w:val="0"/>
      <w:sz w:val="18"/>
      <w:szCs w:val="18"/>
      <w:u w:color="000000" w:val="none"/>
      <w:vertAlign w:val="baseline"/>
      <w:lang w:val="en-US"/>
    </w:rPr>
  </w:style>
  <w:style w:type="paragraph" w:styleId="Body A">
    <w:name w:val="Body A"/>
    <w:next w:val="Body A"/>
    <w:pPr>
      <w:keepNext w:val="0"/>
      <w:keepLines w:val="0"/>
      <w:pageBreakBefore w:val="0"/>
      <w:widowControl w:val="0"/>
      <w:shd w:color="auto" w:fill="auto" w:val="clear"/>
      <w:suppressAutoHyphens w:val="0"/>
      <w:bidi w:val="0"/>
      <w:spacing w:after="0" w:before="0" w:line="240" w:lineRule="auto"/>
      <w:ind w:left="0" w:right="0" w:firstLine="0"/>
      <w:jc w:val="left"/>
      <w:outlineLvl w:val="9"/>
    </w:pPr>
    <w:rPr>
      <w:rFonts w:ascii="Tw Cen MT" w:cs="Arial Unicode MS" w:eastAsia="Arial Unicode MS" w:hAnsi="Tw Cen MT"/>
      <w:b w:val="0"/>
      <w:bCs w:val="0"/>
      <w:i w:val="0"/>
      <w:iCs w:val="0"/>
      <w:caps w:val="0"/>
      <w:smallCaps w:val="0"/>
      <w:strike w:val="0"/>
      <w:dstrike w:val="0"/>
      <w:outline w:val="0"/>
      <w:color w:val="000000"/>
      <w:spacing w:val="0"/>
      <w:kern w:val="0"/>
      <w:position w:val="0"/>
      <w:sz w:val="22"/>
      <w:szCs w:val="22"/>
      <w:u w:color="000000" w:val="none"/>
      <w:vertAlign w:val="baseline"/>
    </w:rPr>
  </w:style>
  <w:style w:type="character" w:styleId="None">
    <w:name w:val="None"/>
  </w:style>
  <w:style w:type="character" w:styleId="Hyperlink.0">
    <w:name w:val="Hyperlink.0"/>
    <w:basedOn w:val="None"/>
    <w:next w:val="Hyperlink.0"/>
    <w:rPr>
      <w:rFonts w:ascii="Arial" w:cs="Arial" w:eastAsia="Arial" w:hAnsi="Arial"/>
      <w:color w:val="ffffff"/>
      <w:sz w:val="14"/>
      <w:szCs w:val="14"/>
      <w:u w:color="ffffff"/>
      <w:lang w:val="en-US"/>
    </w:rPr>
  </w:style>
  <w:style w:type="paragraph" w:styleId="Header &amp; Footer">
    <w:name w:val="Header &amp; Footer"/>
    <w:next w:val="Header &amp; Footer"/>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Helvetica Neue" w:eastAsia="Helvetica Neue" w:hAnsi="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color="auto" w:fill="auto" w:val="clear"/>
      <w:suppressAutoHyphens w:val="0"/>
      <w:bidi w:val="0"/>
      <w:spacing w:after="0" w:before="0" w:line="240" w:lineRule="auto"/>
      <w:ind w:left="0" w:right="0" w:firstLine="0"/>
      <w:jc w:val="left"/>
      <w:outlineLvl w:val="9"/>
    </w:pPr>
    <w:rPr>
      <w:rFonts w:ascii="Helvetica" w:cs="Arial Unicode MS" w:eastAsia="Arial Unicode MS" w:hAnsi="Helvetica"/>
      <w:b w:val="0"/>
      <w:bCs w:val="0"/>
      <w:i w:val="0"/>
      <w:iCs w:val="0"/>
      <w:caps w:val="0"/>
      <w:smallCaps w:val="0"/>
      <w:strike w:val="0"/>
      <w:dstrike w:val="0"/>
      <w:outline w:val="0"/>
      <w:color w:val="000000"/>
      <w:spacing w:val="0"/>
      <w:kern w:val="0"/>
      <w:position w:val="0"/>
      <w:sz w:val="22"/>
      <w:szCs w:val="22"/>
      <w:u w:color="000000" w:val="none"/>
      <w:vertAlign w:val="baseline"/>
      <w:lang w:val="en-US"/>
    </w:rPr>
  </w:style>
  <w:style w:type="paragraph" w:styleId="List Paragraph">
    <w:name w:val="List Paragraph"/>
    <w:next w:val="List Paragraph"/>
    <w:pPr>
      <w:keepNext w:val="0"/>
      <w:keepLines w:val="0"/>
      <w:pageBreakBefore w:val="0"/>
      <w:widowControl w:val="0"/>
      <w:shd w:color="auto" w:fill="auto" w:val="clear"/>
      <w:suppressAutoHyphens w:val="0"/>
      <w:bidi w:val="0"/>
      <w:spacing w:after="0" w:before="90" w:line="200" w:lineRule="exact"/>
      <w:ind w:left="383" w:right="0" w:hanging="283"/>
      <w:jc w:val="both"/>
      <w:outlineLvl w:val="9"/>
    </w:pPr>
    <w:rPr>
      <w:rFonts w:ascii="Calibri" w:cs="Calibri" w:eastAsia="Calibri" w:hAnsi="Calibri"/>
      <w:b w:val="0"/>
      <w:bCs w:val="0"/>
      <w:i w:val="0"/>
      <w:iCs w:val="0"/>
      <w:caps w:val="0"/>
      <w:smallCaps w:val="0"/>
      <w:strike w:val="0"/>
      <w:dstrike w:val="0"/>
      <w:outline w:val="0"/>
      <w:color w:val="000000"/>
      <w:spacing w:val="0"/>
      <w:kern w:val="0"/>
      <w:position w:val="0"/>
      <w:sz w:val="22"/>
      <w:szCs w:val="22"/>
      <w:u w:color="000000" w:val="none"/>
      <w:vertAlign w:val="baseline"/>
      <w:lang w:val="en-US"/>
    </w:rPr>
  </w:style>
  <w:style w:type="numbering" w:styleId="Imported Style 1">
    <w:name w:val="Imported Style 1"/>
    <w:pPr>
      <w:numPr>
        <w:numId w:val="1"/>
      </w:numPr>
    </w:pPr>
  </w:style>
  <w:style w:type="character" w:styleId="Link">
    <w:name w:val="Link"/>
    <w:rPr>
      <w:color w:val="0000ff"/>
      <w:u w:color="0000ff" w:val="single"/>
    </w:rPr>
  </w:style>
  <w:style w:type="character" w:styleId="Hyperlink.1">
    <w:name w:val="Hyperlink.1"/>
    <w:basedOn w:val="Link"/>
    <w:next w:val="Hyperlink.1"/>
    <w:rPr>
      <w:color w:val="000000"/>
      <w:u w:val="none"/>
    </w:rPr>
  </w:style>
  <w:style w:type="character" w:styleId="Hyperlink.2">
    <w:name w:val="Hyperlink.2"/>
    <w:basedOn w:val="None"/>
    <w:next w:val="Hyperlink.2"/>
    <w:rPr>
      <w:color w:val="0000ff"/>
      <w:sz w:val="16"/>
      <w:szCs w:val="16"/>
      <w:u w:color="0000ff" w:val="single"/>
      <w:lang w:val="en-US"/>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www.ncbi.nlm.nih.gov/pubmed/?term=Peng%20GL%5BAuthor%5D&amp;cauthor=true&amp;cauthor_uid=31280855" TargetMode="External"/><Relationship Id="rId22" Type="http://schemas.openxmlformats.org/officeDocument/2006/relationships/hyperlink" Target="https://www.ncbi.nlm.nih.gov/pubmed/?term=Elghblawi%20E%5BAuthor%5D&amp;cauthor=true&amp;cauthor_uid=28887865" TargetMode="External"/><Relationship Id="rId21" Type="http://schemas.openxmlformats.org/officeDocument/2006/relationships/hyperlink" Target="https://www.ncbi.nlm.nih.gov/pubmed/31280855#" TargetMode="External"/><Relationship Id="rId24" Type="http://schemas.openxmlformats.org/officeDocument/2006/relationships/header" Target="header1.xml"/><Relationship Id="rId23" Type="http://schemas.openxmlformats.org/officeDocument/2006/relationships/hyperlink" Target="https://www.ncbi.nlm.nih.gov/pubmed/2888786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cbi.nlm.nih.gov/pubmed/?term=Carola%20A%5BAuthor%5D&amp;cauthor=true&amp;cauthor_uid=21609336" TargetMode="External"/><Relationship Id="rId26" Type="http://schemas.openxmlformats.org/officeDocument/2006/relationships/image" Target="media/image9.png"/><Relationship Id="rId25" Type="http://schemas.openxmlformats.org/officeDocument/2006/relationships/footer" Target="footer1.xml"/><Relationship Id="rId28" Type="http://schemas.openxmlformats.org/officeDocument/2006/relationships/hyperlink" Target="mailto:drosorio@regenerage.clinic" TargetMode="External"/><Relationship Id="rId27" Type="http://schemas.openxmlformats.org/officeDocument/2006/relationships/image" Target="media/image7.png"/><Relationship Id="rId5" Type="http://schemas.openxmlformats.org/officeDocument/2006/relationships/styles" Target="styles.xml"/><Relationship Id="rId6" Type="http://schemas.openxmlformats.org/officeDocument/2006/relationships/hyperlink" Target="https://www.ncbi.nlm.nih.gov/pubmed/?term=Lombardi-Boccia%20G%5BAuthor%5D&amp;cauthor=true&amp;cauthor_uid=28239121" TargetMode="External"/><Relationship Id="rId29" Type="http://schemas.openxmlformats.org/officeDocument/2006/relationships/image" Target="media/image5.png"/><Relationship Id="rId7" Type="http://schemas.openxmlformats.org/officeDocument/2006/relationships/hyperlink" Target="https://www.ncbi.nlm.nih.gov/pubmed/?term=Lucarini%20M%5BAuthor%5D&amp;cauthor=true&amp;cauthor_uid=28239121" TargetMode="External"/><Relationship Id="rId8" Type="http://schemas.openxmlformats.org/officeDocument/2006/relationships/hyperlink" Target="https://www.ncbi.nlm.nih.gov/pubmed/?term=Tito%20A%5BAuthor%5D&amp;cauthor=true&amp;cauthor_uid=21609336" TargetMode="External"/><Relationship Id="rId11" Type="http://schemas.openxmlformats.org/officeDocument/2006/relationships/hyperlink" Target="https://www.ncbi.nlm.nih.gov/pubmed/?term=Barbulova%20A%5BAuthor%5D&amp;cauthor=true&amp;cauthor_uid=21609336" TargetMode="External"/><Relationship Id="rId10" Type="http://schemas.openxmlformats.org/officeDocument/2006/relationships/hyperlink" Target="https://www.ncbi.nlm.nih.gov/pubmed/?term=Bimonte%20M%5BAuthor%5D&amp;cauthor=true&amp;cauthor_uid=21609336" TargetMode="External"/><Relationship Id="rId13" Type="http://schemas.openxmlformats.org/officeDocument/2006/relationships/hyperlink" Target="https://www.ncbi.nlm.nih.gov/pubmed/?term=de%20Laurentiis%20F%5BAuthor%5D&amp;cauthor=true&amp;cauthor_uid=21609336" TargetMode="External"/><Relationship Id="rId12" Type="http://schemas.openxmlformats.org/officeDocument/2006/relationships/hyperlink" Target="https://www.ncbi.nlm.nih.gov/pubmed/?term=Arciello%20S%5BAuthor%5D&amp;cauthor=true&amp;cauthor_uid=21609336" TargetMode="External"/><Relationship Id="rId15" Type="http://schemas.openxmlformats.org/officeDocument/2006/relationships/hyperlink" Target="https://www.ncbi.nlm.nih.gov/pubmed/?term=Hill%20J%5BAuthor%5D&amp;cauthor=true&amp;cauthor_uid=21609336" TargetMode="External"/><Relationship Id="rId14" Type="http://schemas.openxmlformats.org/officeDocument/2006/relationships/hyperlink" Target="https://www.ncbi.nlm.nih.gov/pubmed/?term=Monoli%20I%5BAuthor%5D&amp;cauthor=true&amp;cauthor_uid=21609336" TargetMode="External"/><Relationship Id="rId17" Type="http://schemas.openxmlformats.org/officeDocument/2006/relationships/hyperlink" Target="https://www.ncbi.nlm.nih.gov/pubmed/?term=Colucci%20G%5BAuthor%5D&amp;cauthor=true&amp;cauthor_uid=21609336" TargetMode="External"/><Relationship Id="rId16" Type="http://schemas.openxmlformats.org/officeDocument/2006/relationships/hyperlink" Target="https://www.ncbi.nlm.nih.gov/pubmed/?term=Gibertoni%20S%5BAuthor%5D&amp;cauthor=true&amp;cauthor_uid=21609336" TargetMode="External"/><Relationship Id="rId19" Type="http://schemas.openxmlformats.org/officeDocument/2006/relationships/hyperlink" Target="https://www.ncbi.nlm.nih.gov/pubmed/21609336#" TargetMode="External"/><Relationship Id="rId18" Type="http://schemas.openxmlformats.org/officeDocument/2006/relationships/hyperlink" Target="https://www.ncbi.nlm.nih.gov/pubmed/?term=Apone%20F%5BAuthor%5D&amp;cauthor=true&amp;cauthor_uid=2160933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6.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