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B7A" w:rsidRDefault="00920B7A" w:rsidP="00920B7A">
      <w:pPr>
        <w:ind w:left="5760" w:firstLine="720"/>
        <w:rPr>
          <w:b/>
        </w:rPr>
      </w:pPr>
      <w:r>
        <w:rPr>
          <w:noProof/>
        </w:rPr>
        <w:drawing>
          <wp:inline distT="0" distB="0" distL="0" distR="0" wp14:anchorId="31D8735C" wp14:editId="57CE64CA">
            <wp:extent cx="2034540" cy="388620"/>
            <wp:effectExtent l="0" t="0" r="3810" b="0"/>
            <wp:docPr id="1" name="Picture 1" descr="http://www.ashion.com/wp-content/uploads/2016/01/ashion-logo-black-sm1.png">
              <a:hlinkClick xmlns:a="http://schemas.openxmlformats.org/drawingml/2006/main" r:id="rId4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ttp://www.ashion.com/wp-content/uploads/2016/01/ashion-logo-black-sm1.png">
                      <a:hlinkClick r:id="rId4"/>
                    </pic:cNvPr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A65" w:rsidRDefault="00F93A65">
      <w:pPr>
        <w:rPr>
          <w:b/>
        </w:rPr>
      </w:pPr>
    </w:p>
    <w:p w:rsidR="00F93A65" w:rsidRDefault="00F93A65">
      <w:pPr>
        <w:rPr>
          <w:b/>
        </w:rPr>
      </w:pPr>
      <w:r w:rsidRPr="00920B7A">
        <w:rPr>
          <w:rFonts w:eastAsia="Times New Roman" w:cs="Arial"/>
          <w:noProof/>
          <w:color w:val="333333"/>
        </w:rPr>
        <w:drawing>
          <wp:inline distT="0" distB="0" distL="0" distR="0" wp14:anchorId="403FD921" wp14:editId="6C79AE9D">
            <wp:extent cx="1973580" cy="2315545"/>
            <wp:effectExtent l="0" t="0" r="762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4" t="7410" r="10771" b="26348"/>
                    <a:stretch/>
                  </pic:blipFill>
                  <pic:spPr bwMode="auto">
                    <a:xfrm>
                      <a:off x="0" y="0"/>
                      <a:ext cx="1973580" cy="231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3A65" w:rsidRDefault="00F93A65">
      <w:pPr>
        <w:rPr>
          <w:b/>
        </w:rPr>
      </w:pPr>
    </w:p>
    <w:p w:rsidR="00AE5BDA" w:rsidRPr="003033B2" w:rsidRDefault="00AE5BDA">
      <w:pPr>
        <w:rPr>
          <w:b/>
          <w:sz w:val="24"/>
          <w:szCs w:val="24"/>
        </w:rPr>
      </w:pPr>
      <w:r w:rsidRPr="003033B2">
        <w:rPr>
          <w:b/>
          <w:sz w:val="24"/>
          <w:szCs w:val="24"/>
        </w:rPr>
        <w:t>Title: Molecular profiling reveals actionable targets in breast cancer patients</w:t>
      </w:r>
    </w:p>
    <w:p w:rsidR="00920B7A" w:rsidRPr="003033B2" w:rsidRDefault="00920B7A">
      <w:pPr>
        <w:rPr>
          <w:b/>
          <w:sz w:val="24"/>
          <w:szCs w:val="24"/>
        </w:rPr>
      </w:pPr>
      <w:r w:rsidRPr="003033B2">
        <w:rPr>
          <w:b/>
          <w:sz w:val="24"/>
          <w:szCs w:val="24"/>
        </w:rPr>
        <w:t>Name: Gargi Basu, Ph.D.</w:t>
      </w:r>
    </w:p>
    <w:p w:rsidR="00920B7A" w:rsidRPr="003033B2" w:rsidRDefault="00920B7A">
      <w:pPr>
        <w:rPr>
          <w:b/>
          <w:sz w:val="24"/>
          <w:szCs w:val="24"/>
        </w:rPr>
      </w:pPr>
      <w:proofErr w:type="spellStart"/>
      <w:r w:rsidRPr="003033B2">
        <w:rPr>
          <w:b/>
          <w:sz w:val="24"/>
          <w:szCs w:val="24"/>
        </w:rPr>
        <w:t>Ashion</w:t>
      </w:r>
      <w:proofErr w:type="spellEnd"/>
      <w:r w:rsidRPr="003033B2">
        <w:rPr>
          <w:b/>
          <w:sz w:val="24"/>
          <w:szCs w:val="24"/>
        </w:rPr>
        <w:t>, 445 N</w:t>
      </w:r>
      <w:r w:rsidR="00F93A65" w:rsidRPr="003033B2">
        <w:rPr>
          <w:b/>
          <w:sz w:val="24"/>
          <w:szCs w:val="24"/>
        </w:rPr>
        <w:t>.</w:t>
      </w:r>
      <w:r w:rsidRPr="003033B2">
        <w:rPr>
          <w:b/>
          <w:sz w:val="24"/>
          <w:szCs w:val="24"/>
        </w:rPr>
        <w:t xml:space="preserve"> 5</w:t>
      </w:r>
      <w:r w:rsidRPr="003033B2">
        <w:rPr>
          <w:b/>
          <w:sz w:val="24"/>
          <w:szCs w:val="24"/>
          <w:vertAlign w:val="superscript"/>
        </w:rPr>
        <w:t>th</w:t>
      </w:r>
      <w:r w:rsidRPr="003033B2">
        <w:rPr>
          <w:b/>
          <w:sz w:val="24"/>
          <w:szCs w:val="24"/>
        </w:rPr>
        <w:t xml:space="preserve"> Street, Phoenix, AZ 85004</w:t>
      </w:r>
    </w:p>
    <w:p w:rsidR="009A4CA1" w:rsidRPr="003033B2" w:rsidRDefault="00954394">
      <w:pPr>
        <w:rPr>
          <w:sz w:val="24"/>
          <w:szCs w:val="24"/>
        </w:rPr>
      </w:pPr>
      <w:r w:rsidRPr="003033B2">
        <w:rPr>
          <w:b/>
          <w:sz w:val="24"/>
          <w:szCs w:val="24"/>
        </w:rPr>
        <w:t>Introduction:</w:t>
      </w:r>
      <w:r w:rsidRPr="003033B2">
        <w:rPr>
          <w:sz w:val="24"/>
          <w:szCs w:val="24"/>
        </w:rPr>
        <w:t xml:space="preserve"> </w:t>
      </w:r>
      <w:r w:rsidR="00CF22DF" w:rsidRPr="003033B2">
        <w:rPr>
          <w:sz w:val="24"/>
          <w:szCs w:val="24"/>
        </w:rPr>
        <w:t>Breast cancer</w:t>
      </w:r>
      <w:r w:rsidR="00AE5BDA" w:rsidRPr="003033B2">
        <w:rPr>
          <w:sz w:val="24"/>
          <w:szCs w:val="24"/>
        </w:rPr>
        <w:t>(BC)</w:t>
      </w:r>
      <w:r w:rsidR="0041128C" w:rsidRPr="003033B2">
        <w:rPr>
          <w:sz w:val="24"/>
          <w:szCs w:val="24"/>
        </w:rPr>
        <w:t xml:space="preserve"> is the second largest disease affecting women and is a leading causing of death among women. </w:t>
      </w:r>
      <w:r w:rsidR="00AE5BDA" w:rsidRPr="003033B2">
        <w:rPr>
          <w:sz w:val="24"/>
          <w:szCs w:val="24"/>
        </w:rPr>
        <w:t>I</w:t>
      </w:r>
      <w:r w:rsidR="0041128C" w:rsidRPr="003033B2">
        <w:rPr>
          <w:sz w:val="24"/>
          <w:szCs w:val="24"/>
        </w:rPr>
        <w:t>t</w:t>
      </w:r>
      <w:r w:rsidR="00CF22DF" w:rsidRPr="003033B2">
        <w:rPr>
          <w:sz w:val="24"/>
          <w:szCs w:val="24"/>
        </w:rPr>
        <w:t xml:space="preserve"> is </w:t>
      </w:r>
      <w:r w:rsidR="0041128C" w:rsidRPr="003033B2">
        <w:rPr>
          <w:sz w:val="24"/>
          <w:szCs w:val="24"/>
        </w:rPr>
        <w:t xml:space="preserve">a </w:t>
      </w:r>
      <w:r w:rsidR="00CF22DF" w:rsidRPr="003033B2">
        <w:rPr>
          <w:sz w:val="24"/>
          <w:szCs w:val="24"/>
        </w:rPr>
        <w:t xml:space="preserve">molecularly diverse disease </w:t>
      </w:r>
      <w:r w:rsidR="0041128C" w:rsidRPr="003033B2">
        <w:rPr>
          <w:sz w:val="24"/>
          <w:szCs w:val="24"/>
        </w:rPr>
        <w:t>defined</w:t>
      </w:r>
      <w:r w:rsidR="00CF22DF" w:rsidRPr="003033B2">
        <w:rPr>
          <w:sz w:val="24"/>
          <w:szCs w:val="24"/>
        </w:rPr>
        <w:t xml:space="preserve"> by ER, PR, HER2</w:t>
      </w:r>
      <w:r w:rsidR="0041128C" w:rsidRPr="003033B2">
        <w:rPr>
          <w:sz w:val="24"/>
          <w:szCs w:val="24"/>
        </w:rPr>
        <w:t xml:space="preserve"> status</w:t>
      </w:r>
      <w:r w:rsidR="00CF22DF" w:rsidRPr="003033B2">
        <w:rPr>
          <w:sz w:val="24"/>
          <w:szCs w:val="24"/>
        </w:rPr>
        <w:t xml:space="preserve">. Characterizing the molecular alterations in BC may lead to an improved understanding of its biology and provide new therapeutic options. </w:t>
      </w:r>
    </w:p>
    <w:p w:rsidR="00CF22DF" w:rsidRPr="003033B2" w:rsidRDefault="00CF22DF" w:rsidP="00CF22DF">
      <w:pPr>
        <w:rPr>
          <w:rFonts w:eastAsia="Times New Roman" w:cs="Arial"/>
          <w:color w:val="333333"/>
          <w:sz w:val="24"/>
          <w:szCs w:val="24"/>
        </w:rPr>
      </w:pPr>
      <w:r w:rsidRPr="003033B2">
        <w:rPr>
          <w:rFonts w:eastAsia="Times New Roman" w:cs="Arial"/>
          <w:b/>
          <w:bCs/>
          <w:color w:val="333333"/>
          <w:sz w:val="24"/>
          <w:szCs w:val="24"/>
        </w:rPr>
        <w:t xml:space="preserve">Methods: </w:t>
      </w:r>
      <w:r w:rsidRPr="003033B2">
        <w:rPr>
          <w:rFonts w:eastAsia="Times New Roman" w:cs="Arial"/>
          <w:color w:val="333333"/>
          <w:sz w:val="24"/>
          <w:szCs w:val="24"/>
        </w:rPr>
        <w:t xml:space="preserve">Comprehensive genomic profiling was performed on </w:t>
      </w:r>
      <w:r w:rsidR="008E1437" w:rsidRPr="003033B2">
        <w:rPr>
          <w:rFonts w:eastAsia="Times New Roman" w:cs="Arial"/>
          <w:color w:val="333333"/>
          <w:sz w:val="24"/>
          <w:szCs w:val="24"/>
        </w:rPr>
        <w:t>82 breast</w:t>
      </w:r>
      <w:r w:rsidRPr="003033B2">
        <w:rPr>
          <w:rFonts w:eastAsia="Times New Roman" w:cs="Arial"/>
          <w:color w:val="333333"/>
          <w:sz w:val="24"/>
          <w:szCs w:val="24"/>
        </w:rPr>
        <w:t xml:space="preserve"> cancer samples with </w:t>
      </w:r>
      <w:r w:rsidR="0041128C" w:rsidRPr="003033B2">
        <w:rPr>
          <w:rFonts w:eastAsia="Times New Roman" w:cs="Arial"/>
          <w:color w:val="333333"/>
          <w:sz w:val="24"/>
          <w:szCs w:val="24"/>
        </w:rPr>
        <w:t>48</w:t>
      </w:r>
      <w:r w:rsidRPr="003033B2">
        <w:rPr>
          <w:rFonts w:eastAsia="Times New Roman" w:cs="Arial"/>
          <w:color w:val="333333"/>
          <w:sz w:val="24"/>
          <w:szCs w:val="24"/>
        </w:rPr>
        <w:t xml:space="preserve"> metastatic and </w:t>
      </w:r>
      <w:r w:rsidR="0041128C" w:rsidRPr="003033B2">
        <w:rPr>
          <w:rFonts w:eastAsia="Times New Roman" w:cs="Arial"/>
          <w:color w:val="333333"/>
          <w:sz w:val="24"/>
          <w:szCs w:val="24"/>
        </w:rPr>
        <w:t>34</w:t>
      </w:r>
      <w:r w:rsidRPr="003033B2">
        <w:rPr>
          <w:rFonts w:eastAsia="Times New Roman" w:cs="Arial"/>
          <w:color w:val="333333"/>
          <w:sz w:val="24"/>
          <w:szCs w:val="24"/>
        </w:rPr>
        <w:t xml:space="preserve"> primary samples. Targeted sequencing was performed on 562 cancer associated genes in paired tumor and blood DNA samples.</w:t>
      </w:r>
    </w:p>
    <w:p w:rsidR="005D0ACD" w:rsidRPr="003033B2" w:rsidRDefault="0041128C">
      <w:pPr>
        <w:rPr>
          <w:sz w:val="24"/>
          <w:szCs w:val="24"/>
        </w:rPr>
      </w:pPr>
      <w:r w:rsidRPr="003033B2">
        <w:rPr>
          <w:rFonts w:eastAsia="Times New Roman" w:cs="Arial"/>
          <w:b/>
          <w:color w:val="333333"/>
          <w:sz w:val="24"/>
          <w:szCs w:val="24"/>
        </w:rPr>
        <w:t>Results:</w:t>
      </w:r>
      <w:r w:rsidRPr="003033B2">
        <w:rPr>
          <w:rFonts w:eastAsia="Times New Roman" w:cs="Arial"/>
          <w:color w:val="333333"/>
          <w:sz w:val="24"/>
          <w:szCs w:val="24"/>
        </w:rPr>
        <w:t xml:space="preserve"> Within the breast cohort studied, there were 29 (</w:t>
      </w:r>
      <w:r w:rsidR="004F298F" w:rsidRPr="003033B2">
        <w:rPr>
          <w:rFonts w:eastAsia="Times New Roman" w:cs="Arial"/>
          <w:color w:val="333333"/>
          <w:sz w:val="24"/>
          <w:szCs w:val="24"/>
        </w:rPr>
        <w:t>35%</w:t>
      </w:r>
      <w:r w:rsidRPr="003033B2">
        <w:rPr>
          <w:rFonts w:eastAsia="Times New Roman" w:cs="Arial"/>
          <w:color w:val="333333"/>
          <w:sz w:val="24"/>
          <w:szCs w:val="24"/>
        </w:rPr>
        <w:t>) triple negative</w:t>
      </w:r>
      <w:r w:rsidR="00445D3A" w:rsidRPr="003033B2">
        <w:rPr>
          <w:rFonts w:eastAsia="Times New Roman" w:cs="Arial"/>
          <w:color w:val="333333"/>
          <w:sz w:val="24"/>
          <w:szCs w:val="24"/>
        </w:rPr>
        <w:t xml:space="preserve"> (TNBC)</w:t>
      </w:r>
      <w:r w:rsidRPr="003033B2">
        <w:rPr>
          <w:rFonts w:eastAsia="Times New Roman" w:cs="Arial"/>
          <w:color w:val="333333"/>
          <w:sz w:val="24"/>
          <w:szCs w:val="24"/>
        </w:rPr>
        <w:t xml:space="preserve">, </w:t>
      </w:r>
      <w:r w:rsidR="004F298F" w:rsidRPr="003033B2">
        <w:rPr>
          <w:rFonts w:eastAsia="Times New Roman" w:cs="Arial"/>
          <w:color w:val="333333"/>
          <w:sz w:val="24"/>
          <w:szCs w:val="24"/>
        </w:rPr>
        <w:t>8 (10</w:t>
      </w:r>
      <w:r w:rsidR="008B4121" w:rsidRPr="003033B2">
        <w:rPr>
          <w:rFonts w:eastAsia="Times New Roman" w:cs="Arial"/>
          <w:color w:val="333333"/>
          <w:sz w:val="24"/>
          <w:szCs w:val="24"/>
        </w:rPr>
        <w:t>%</w:t>
      </w:r>
      <w:r w:rsidR="004F298F" w:rsidRPr="003033B2">
        <w:rPr>
          <w:rFonts w:eastAsia="Times New Roman" w:cs="Arial"/>
          <w:color w:val="333333"/>
          <w:sz w:val="24"/>
          <w:szCs w:val="24"/>
        </w:rPr>
        <w:t>) were HER2 positive and 44(54%) were hormone receptor positive</w:t>
      </w:r>
      <w:r w:rsidR="008B4121" w:rsidRPr="003033B2">
        <w:rPr>
          <w:rFonts w:eastAsia="Times New Roman" w:cs="Arial"/>
          <w:color w:val="333333"/>
          <w:sz w:val="24"/>
          <w:szCs w:val="24"/>
        </w:rPr>
        <w:t xml:space="preserve"> (HR+)</w:t>
      </w:r>
      <w:r w:rsidR="004F298F" w:rsidRPr="003033B2">
        <w:rPr>
          <w:rFonts w:eastAsia="Times New Roman" w:cs="Arial"/>
          <w:color w:val="333333"/>
          <w:sz w:val="24"/>
          <w:szCs w:val="24"/>
        </w:rPr>
        <w:t xml:space="preserve">. </w:t>
      </w:r>
      <w:r w:rsidR="00445D3A" w:rsidRPr="003033B2">
        <w:rPr>
          <w:rFonts w:eastAsia="Times New Roman" w:cs="Arial"/>
          <w:color w:val="333333"/>
          <w:sz w:val="24"/>
          <w:szCs w:val="24"/>
        </w:rPr>
        <w:t>Within the TNBC subset,</w:t>
      </w:r>
      <w:r w:rsidR="00954394" w:rsidRPr="003033B2">
        <w:rPr>
          <w:rFonts w:eastAsia="Times New Roman" w:cs="Arial"/>
          <w:color w:val="333333"/>
          <w:sz w:val="24"/>
          <w:szCs w:val="24"/>
        </w:rPr>
        <w:t xml:space="preserve"> </w:t>
      </w:r>
      <w:r w:rsidR="00171614" w:rsidRPr="003033B2">
        <w:rPr>
          <w:sz w:val="24"/>
          <w:szCs w:val="24"/>
        </w:rPr>
        <w:t>13 cases had loss of function alteration in PTEN, STK11</w:t>
      </w:r>
      <w:r w:rsidR="00CD5F45" w:rsidRPr="003033B2">
        <w:rPr>
          <w:sz w:val="24"/>
          <w:szCs w:val="24"/>
        </w:rPr>
        <w:t>, TSC2</w:t>
      </w:r>
      <w:r w:rsidR="00171614" w:rsidRPr="003033B2">
        <w:rPr>
          <w:sz w:val="24"/>
          <w:szCs w:val="24"/>
        </w:rPr>
        <w:t xml:space="preserve"> and NF1, or gain of fu</w:t>
      </w:r>
      <w:r w:rsidR="00AE5BDA" w:rsidRPr="003033B2">
        <w:rPr>
          <w:sz w:val="24"/>
          <w:szCs w:val="24"/>
        </w:rPr>
        <w:t xml:space="preserve">nction event in RPTOR, AKT1 or </w:t>
      </w:r>
      <w:r w:rsidR="00171614" w:rsidRPr="003033B2">
        <w:rPr>
          <w:sz w:val="24"/>
          <w:szCs w:val="24"/>
        </w:rPr>
        <w:t>PIK3CA mutation in exon 9 or 2</w:t>
      </w:r>
      <w:r w:rsidR="00CD5F45" w:rsidRPr="003033B2">
        <w:rPr>
          <w:sz w:val="24"/>
          <w:szCs w:val="24"/>
        </w:rPr>
        <w:t>0</w:t>
      </w:r>
      <w:r w:rsidR="00445D3A" w:rsidRPr="003033B2">
        <w:rPr>
          <w:sz w:val="24"/>
          <w:szCs w:val="24"/>
        </w:rPr>
        <w:t xml:space="preserve"> suggesting potential </w:t>
      </w:r>
      <w:r w:rsidR="00AE5BDA" w:rsidRPr="003033B2">
        <w:rPr>
          <w:sz w:val="24"/>
          <w:szCs w:val="24"/>
        </w:rPr>
        <w:t xml:space="preserve">response </w:t>
      </w:r>
      <w:r w:rsidR="00445D3A" w:rsidRPr="003033B2">
        <w:rPr>
          <w:sz w:val="24"/>
          <w:szCs w:val="24"/>
        </w:rPr>
        <w:t xml:space="preserve">with </w:t>
      </w:r>
      <w:r w:rsidR="00CD5F45" w:rsidRPr="003033B2">
        <w:rPr>
          <w:sz w:val="24"/>
          <w:szCs w:val="24"/>
        </w:rPr>
        <w:t>PI3K/AKT/</w:t>
      </w:r>
      <w:proofErr w:type="spellStart"/>
      <w:r w:rsidR="00CD5F45" w:rsidRPr="003033B2">
        <w:rPr>
          <w:sz w:val="24"/>
          <w:szCs w:val="24"/>
        </w:rPr>
        <w:t>mTOR</w:t>
      </w:r>
      <w:proofErr w:type="spellEnd"/>
      <w:r w:rsidR="00CD5F45" w:rsidRPr="003033B2">
        <w:rPr>
          <w:sz w:val="24"/>
          <w:szCs w:val="24"/>
        </w:rPr>
        <w:t xml:space="preserve"> </w:t>
      </w:r>
      <w:r w:rsidR="00AE5BDA" w:rsidRPr="003033B2">
        <w:rPr>
          <w:sz w:val="24"/>
          <w:szCs w:val="24"/>
        </w:rPr>
        <w:t>inhibitors</w:t>
      </w:r>
      <w:r w:rsidR="00CD5F45" w:rsidRPr="003033B2">
        <w:rPr>
          <w:sz w:val="24"/>
          <w:szCs w:val="24"/>
        </w:rPr>
        <w:t>.</w:t>
      </w:r>
      <w:r w:rsidR="00445D3A" w:rsidRPr="003033B2">
        <w:rPr>
          <w:sz w:val="24"/>
          <w:szCs w:val="24"/>
        </w:rPr>
        <w:t xml:space="preserve"> Further, </w:t>
      </w:r>
      <w:r w:rsidR="00CD5F45" w:rsidRPr="003033B2">
        <w:rPr>
          <w:sz w:val="24"/>
          <w:szCs w:val="24"/>
        </w:rPr>
        <w:t>mutations in TP53 was present in 23 cases which may indicate potential response to Wee1 inhibitors.</w:t>
      </w:r>
      <w:r w:rsidR="007862AD" w:rsidRPr="003033B2">
        <w:rPr>
          <w:sz w:val="24"/>
          <w:szCs w:val="24"/>
        </w:rPr>
        <w:t xml:space="preserve"> Dysregulation of cell cycle pathway through activation of cyclin D1 or inactivation of CDKN2A was found in 2 cases. DNA repair deficiency was found in 3 cases harboring </w:t>
      </w:r>
      <w:r w:rsidR="00A72F9E" w:rsidRPr="003033B2">
        <w:rPr>
          <w:sz w:val="24"/>
          <w:szCs w:val="24"/>
        </w:rPr>
        <w:t>deleterious</w:t>
      </w:r>
      <w:r w:rsidR="007862AD" w:rsidRPr="003033B2">
        <w:rPr>
          <w:sz w:val="24"/>
          <w:szCs w:val="24"/>
        </w:rPr>
        <w:t xml:space="preserve"> mutations in </w:t>
      </w:r>
      <w:r w:rsidR="005621BE" w:rsidRPr="003033B2">
        <w:rPr>
          <w:sz w:val="24"/>
          <w:szCs w:val="24"/>
        </w:rPr>
        <w:t>CHEK1, BRCA1 and PALB2</w:t>
      </w:r>
      <w:r w:rsidR="007862AD" w:rsidRPr="003033B2">
        <w:rPr>
          <w:sz w:val="24"/>
          <w:szCs w:val="24"/>
        </w:rPr>
        <w:t>.</w:t>
      </w:r>
      <w:r w:rsidR="005621BE" w:rsidRPr="003033B2">
        <w:rPr>
          <w:sz w:val="24"/>
          <w:szCs w:val="24"/>
        </w:rPr>
        <w:t xml:space="preserve"> </w:t>
      </w:r>
      <w:r w:rsidR="007862AD" w:rsidRPr="003033B2">
        <w:rPr>
          <w:sz w:val="24"/>
          <w:szCs w:val="24"/>
        </w:rPr>
        <w:t xml:space="preserve">Other actionable alterations included FGFR1 gain in 2 cases and JAK2 gain in 1 case. Among the HER2 positive subtype, </w:t>
      </w:r>
      <w:r w:rsidR="00A8734E" w:rsidRPr="003033B2">
        <w:rPr>
          <w:sz w:val="24"/>
          <w:szCs w:val="24"/>
        </w:rPr>
        <w:t xml:space="preserve">5 cases </w:t>
      </w:r>
      <w:r w:rsidR="00A72F9E" w:rsidRPr="003033B2">
        <w:rPr>
          <w:sz w:val="24"/>
          <w:szCs w:val="24"/>
        </w:rPr>
        <w:t>harbored</w:t>
      </w:r>
      <w:r w:rsidR="00A8734E" w:rsidRPr="003033B2">
        <w:rPr>
          <w:sz w:val="24"/>
          <w:szCs w:val="24"/>
        </w:rPr>
        <w:t xml:space="preserve"> mutations in PTEN or </w:t>
      </w:r>
      <w:r w:rsidR="00892B59" w:rsidRPr="003033B2">
        <w:rPr>
          <w:sz w:val="24"/>
          <w:szCs w:val="24"/>
        </w:rPr>
        <w:t xml:space="preserve">mutations in </w:t>
      </w:r>
      <w:r w:rsidR="00A8734E" w:rsidRPr="003033B2">
        <w:rPr>
          <w:sz w:val="24"/>
          <w:szCs w:val="24"/>
        </w:rPr>
        <w:t>exon 9 or 20 of P</w:t>
      </w:r>
      <w:r w:rsidR="00892B59" w:rsidRPr="003033B2">
        <w:rPr>
          <w:sz w:val="24"/>
          <w:szCs w:val="24"/>
        </w:rPr>
        <w:t>IK3CA suggesting potential response to PI3K/AKT/</w:t>
      </w:r>
      <w:proofErr w:type="spellStart"/>
      <w:r w:rsidR="00892B59" w:rsidRPr="003033B2">
        <w:rPr>
          <w:sz w:val="24"/>
          <w:szCs w:val="24"/>
        </w:rPr>
        <w:t>mTOR</w:t>
      </w:r>
      <w:proofErr w:type="spellEnd"/>
      <w:r w:rsidR="00892B59" w:rsidRPr="003033B2">
        <w:rPr>
          <w:sz w:val="24"/>
          <w:szCs w:val="24"/>
        </w:rPr>
        <w:t xml:space="preserve"> inhibitors. In addition, 5 cases had </w:t>
      </w:r>
      <w:r w:rsidR="00892B59" w:rsidRPr="003033B2">
        <w:rPr>
          <w:sz w:val="24"/>
          <w:szCs w:val="24"/>
        </w:rPr>
        <w:lastRenderedPageBreak/>
        <w:t xml:space="preserve">TP53 mutations mainly within the DNA-binding domain which is known to truncate the p53. Other actionable events included </w:t>
      </w:r>
      <w:r w:rsidR="009B3B98" w:rsidRPr="003033B2">
        <w:rPr>
          <w:sz w:val="24"/>
          <w:szCs w:val="24"/>
        </w:rPr>
        <w:t>amplification</w:t>
      </w:r>
      <w:r w:rsidR="00A95A9B" w:rsidRPr="003033B2">
        <w:rPr>
          <w:sz w:val="24"/>
          <w:szCs w:val="24"/>
        </w:rPr>
        <w:t>s</w:t>
      </w:r>
      <w:r w:rsidR="009B3B98" w:rsidRPr="003033B2">
        <w:rPr>
          <w:sz w:val="24"/>
          <w:szCs w:val="24"/>
        </w:rPr>
        <w:t xml:space="preserve"> in FGFR1, RARA and CCNE1.</w:t>
      </w:r>
      <w:r w:rsidR="00892B59" w:rsidRPr="003033B2">
        <w:rPr>
          <w:sz w:val="24"/>
          <w:szCs w:val="24"/>
        </w:rPr>
        <w:t xml:space="preserve"> In </w:t>
      </w:r>
      <w:r w:rsidR="008B4121" w:rsidRPr="003033B2">
        <w:rPr>
          <w:sz w:val="24"/>
          <w:szCs w:val="24"/>
        </w:rPr>
        <w:t>HR+</w:t>
      </w:r>
      <w:r w:rsidR="00A95A9B" w:rsidRPr="003033B2">
        <w:rPr>
          <w:sz w:val="24"/>
          <w:szCs w:val="24"/>
        </w:rPr>
        <w:t xml:space="preserve"> </w:t>
      </w:r>
      <w:r w:rsidR="00892B59" w:rsidRPr="003033B2">
        <w:rPr>
          <w:sz w:val="24"/>
          <w:szCs w:val="24"/>
        </w:rPr>
        <w:t>subset, 25/44(57%) had activation of</w:t>
      </w:r>
      <w:r w:rsidR="005D0ACD" w:rsidRPr="003033B2">
        <w:rPr>
          <w:sz w:val="24"/>
          <w:szCs w:val="24"/>
        </w:rPr>
        <w:t xml:space="preserve"> PI3K/AKT/</w:t>
      </w:r>
      <w:proofErr w:type="spellStart"/>
      <w:r w:rsidR="005D0ACD" w:rsidRPr="003033B2">
        <w:rPr>
          <w:sz w:val="24"/>
          <w:szCs w:val="24"/>
        </w:rPr>
        <w:t>mTOR</w:t>
      </w:r>
      <w:proofErr w:type="spellEnd"/>
      <w:r w:rsidR="005D0ACD" w:rsidRPr="003033B2">
        <w:rPr>
          <w:sz w:val="24"/>
          <w:szCs w:val="24"/>
        </w:rPr>
        <w:t xml:space="preserve"> pathway </w:t>
      </w:r>
      <w:r w:rsidR="00A95A9B" w:rsidRPr="003033B2">
        <w:rPr>
          <w:sz w:val="24"/>
          <w:szCs w:val="24"/>
        </w:rPr>
        <w:t>with</w:t>
      </w:r>
      <w:r w:rsidR="005D0ACD" w:rsidRPr="003033B2">
        <w:rPr>
          <w:sz w:val="24"/>
          <w:szCs w:val="24"/>
        </w:rPr>
        <w:t xml:space="preserve"> mutation in exon 9 or 20</w:t>
      </w:r>
      <w:r w:rsidR="00892B59" w:rsidRPr="003033B2">
        <w:rPr>
          <w:sz w:val="24"/>
          <w:szCs w:val="24"/>
        </w:rPr>
        <w:t xml:space="preserve"> of PIK3CA</w:t>
      </w:r>
      <w:r w:rsidR="005D0ACD" w:rsidRPr="003033B2">
        <w:rPr>
          <w:sz w:val="24"/>
          <w:szCs w:val="24"/>
        </w:rPr>
        <w:t>, or alterations in PTEN, FBXW7, STK</w:t>
      </w:r>
      <w:r w:rsidR="00892B59" w:rsidRPr="003033B2">
        <w:rPr>
          <w:sz w:val="24"/>
          <w:szCs w:val="24"/>
        </w:rPr>
        <w:t>11, NF1, NF2, ARID1A, PIK3R1,</w:t>
      </w:r>
      <w:r w:rsidR="005D0ACD" w:rsidRPr="003033B2">
        <w:rPr>
          <w:sz w:val="24"/>
          <w:szCs w:val="24"/>
        </w:rPr>
        <w:t xml:space="preserve"> TSC</w:t>
      </w:r>
      <w:r w:rsidR="00E02A18" w:rsidRPr="003033B2">
        <w:rPr>
          <w:sz w:val="24"/>
          <w:szCs w:val="24"/>
        </w:rPr>
        <w:t>1/</w:t>
      </w:r>
      <w:r w:rsidR="00A95A9B" w:rsidRPr="003033B2">
        <w:rPr>
          <w:sz w:val="24"/>
          <w:szCs w:val="24"/>
        </w:rPr>
        <w:t xml:space="preserve">2, </w:t>
      </w:r>
      <w:r w:rsidR="005D0ACD" w:rsidRPr="003033B2">
        <w:rPr>
          <w:sz w:val="24"/>
          <w:szCs w:val="24"/>
        </w:rPr>
        <w:t>AKT1, AKT2 and MTOR.</w:t>
      </w:r>
      <w:r w:rsidR="000600BC" w:rsidRPr="003033B2">
        <w:rPr>
          <w:sz w:val="24"/>
          <w:szCs w:val="24"/>
        </w:rPr>
        <w:t xml:space="preserve"> </w:t>
      </w:r>
      <w:r w:rsidR="00892B59" w:rsidRPr="003033B2">
        <w:rPr>
          <w:sz w:val="24"/>
          <w:szCs w:val="24"/>
        </w:rPr>
        <w:t xml:space="preserve">Interestingly, 3 samples harbored activating </w:t>
      </w:r>
      <w:r w:rsidR="000600BC" w:rsidRPr="003033B2">
        <w:rPr>
          <w:sz w:val="24"/>
          <w:szCs w:val="24"/>
        </w:rPr>
        <w:t>HER2 mutations</w:t>
      </w:r>
      <w:r w:rsidR="00892B59" w:rsidRPr="003033B2">
        <w:rPr>
          <w:sz w:val="24"/>
          <w:szCs w:val="24"/>
        </w:rPr>
        <w:t xml:space="preserve"> which could be targeted by HER2 targeted therapies.</w:t>
      </w:r>
      <w:r w:rsidR="008B4121" w:rsidRPr="003033B2">
        <w:rPr>
          <w:sz w:val="24"/>
          <w:szCs w:val="24"/>
        </w:rPr>
        <w:t xml:space="preserve"> In addition, we observed constitutively active ESR1 mutations in </w:t>
      </w:r>
      <w:r w:rsidR="00A95A9B" w:rsidRPr="003033B2">
        <w:rPr>
          <w:sz w:val="24"/>
          <w:szCs w:val="24"/>
        </w:rPr>
        <w:t>HR+</w:t>
      </w:r>
      <w:r w:rsidR="008B4121" w:rsidRPr="003033B2">
        <w:rPr>
          <w:sz w:val="24"/>
          <w:szCs w:val="24"/>
        </w:rPr>
        <w:t xml:space="preserve"> breast cancer in 6/44(14%) cases. Alterations in cell cycle genes was present in 10(23%) cases which may benefit from CDK4/6 inhibitors. DNA repair </w:t>
      </w:r>
      <w:r w:rsidR="00A95A9B" w:rsidRPr="003033B2">
        <w:rPr>
          <w:sz w:val="24"/>
          <w:szCs w:val="24"/>
        </w:rPr>
        <w:t>deficiency was noted</w:t>
      </w:r>
      <w:r w:rsidR="008B4121" w:rsidRPr="003033B2">
        <w:rPr>
          <w:sz w:val="24"/>
          <w:szCs w:val="24"/>
        </w:rPr>
        <w:t xml:space="preserve"> in </w:t>
      </w:r>
      <w:r w:rsidR="00954394" w:rsidRPr="003033B2">
        <w:rPr>
          <w:sz w:val="24"/>
          <w:szCs w:val="24"/>
        </w:rPr>
        <w:t>8 cases with mutations in ATM, BRCA1, BRCA2, FANCA, RAD51</w:t>
      </w:r>
      <w:r w:rsidR="00A95A9B" w:rsidRPr="003033B2">
        <w:rPr>
          <w:sz w:val="24"/>
          <w:szCs w:val="24"/>
        </w:rPr>
        <w:t>,</w:t>
      </w:r>
      <w:r w:rsidR="00954394" w:rsidRPr="003033B2">
        <w:rPr>
          <w:sz w:val="24"/>
          <w:szCs w:val="24"/>
        </w:rPr>
        <w:t xml:space="preserve"> PALB2 genes. Other actionable alterations included 13 cases with TP53 mutations and 5 cases with alterations in FGFR genes causing activation of FGFR pathway.</w:t>
      </w:r>
    </w:p>
    <w:p w:rsidR="00954394" w:rsidRPr="003033B2" w:rsidRDefault="00757DB9">
      <w:pPr>
        <w:rPr>
          <w:sz w:val="24"/>
          <w:szCs w:val="24"/>
        </w:rPr>
      </w:pPr>
      <w:r w:rsidRPr="003033B2">
        <w:rPr>
          <w:b/>
          <w:sz w:val="24"/>
          <w:szCs w:val="24"/>
        </w:rPr>
        <w:t>Conclusion:</w:t>
      </w:r>
      <w:r w:rsidRPr="003033B2">
        <w:rPr>
          <w:sz w:val="24"/>
          <w:szCs w:val="24"/>
        </w:rPr>
        <w:t xml:space="preserve"> </w:t>
      </w:r>
      <w:r w:rsidR="006E3685" w:rsidRPr="003033B2">
        <w:rPr>
          <w:sz w:val="24"/>
          <w:szCs w:val="24"/>
        </w:rPr>
        <w:t xml:space="preserve">This study provides a broader understanding of genomic landscape and molecular targets in </w:t>
      </w:r>
      <w:r w:rsidR="00A95A9B" w:rsidRPr="003033B2">
        <w:rPr>
          <w:sz w:val="24"/>
          <w:szCs w:val="24"/>
        </w:rPr>
        <w:t>BC</w:t>
      </w:r>
      <w:r w:rsidRPr="003033B2">
        <w:rPr>
          <w:sz w:val="24"/>
          <w:szCs w:val="24"/>
        </w:rPr>
        <w:t xml:space="preserve"> that are not routinely searched for in the current management of </w:t>
      </w:r>
      <w:r w:rsidR="00A95A9B" w:rsidRPr="003033B2">
        <w:rPr>
          <w:sz w:val="24"/>
          <w:szCs w:val="24"/>
        </w:rPr>
        <w:t>BC</w:t>
      </w:r>
      <w:r w:rsidRPr="003033B2">
        <w:rPr>
          <w:sz w:val="24"/>
          <w:szCs w:val="24"/>
        </w:rPr>
        <w:t xml:space="preserve">. When considering clinical trials or treatment planning for advanced </w:t>
      </w:r>
      <w:r w:rsidR="00A95A9B" w:rsidRPr="003033B2">
        <w:rPr>
          <w:sz w:val="24"/>
          <w:szCs w:val="24"/>
        </w:rPr>
        <w:t>BC</w:t>
      </w:r>
      <w:r w:rsidRPr="003033B2">
        <w:rPr>
          <w:sz w:val="24"/>
          <w:szCs w:val="24"/>
        </w:rPr>
        <w:t xml:space="preserve"> patients</w:t>
      </w:r>
      <w:r w:rsidR="00A95A9B" w:rsidRPr="003033B2">
        <w:rPr>
          <w:sz w:val="24"/>
          <w:szCs w:val="24"/>
        </w:rPr>
        <w:t>,</w:t>
      </w:r>
      <w:r w:rsidRPr="003033B2">
        <w:rPr>
          <w:sz w:val="24"/>
          <w:szCs w:val="24"/>
        </w:rPr>
        <w:t xml:space="preserve"> </w:t>
      </w:r>
      <w:r w:rsidR="006E3685" w:rsidRPr="003033B2">
        <w:rPr>
          <w:sz w:val="24"/>
          <w:szCs w:val="24"/>
        </w:rPr>
        <w:t>exploratory genomic analysis should be considered.</w:t>
      </w:r>
    </w:p>
    <w:p w:rsidR="00A95A9B" w:rsidRPr="003033B2" w:rsidRDefault="00F93A65">
      <w:pPr>
        <w:rPr>
          <w:b/>
          <w:sz w:val="24"/>
          <w:szCs w:val="24"/>
        </w:rPr>
      </w:pPr>
      <w:r w:rsidRPr="003033B2">
        <w:rPr>
          <w:b/>
          <w:sz w:val="24"/>
          <w:szCs w:val="24"/>
        </w:rPr>
        <w:t>Biography</w:t>
      </w:r>
      <w:bookmarkStart w:id="0" w:name="_GoBack"/>
      <w:bookmarkEnd w:id="0"/>
    </w:p>
    <w:p w:rsidR="00A95A9B" w:rsidRPr="003033B2" w:rsidRDefault="00A95A9B" w:rsidP="00A95A9B">
      <w:pPr>
        <w:spacing w:after="0" w:line="240" w:lineRule="auto"/>
        <w:rPr>
          <w:rFonts w:eastAsia="Times New Roman" w:cs="Helvetica"/>
          <w:color w:val="444444"/>
          <w:sz w:val="24"/>
          <w:szCs w:val="24"/>
        </w:rPr>
      </w:pPr>
      <w:r w:rsidRPr="003033B2">
        <w:rPr>
          <w:rFonts w:eastAsia="Times New Roman" w:cs="Helvetica"/>
          <w:color w:val="444444"/>
          <w:sz w:val="24"/>
          <w:szCs w:val="24"/>
        </w:rPr>
        <w:t xml:space="preserve">Dr. Gargi Basu </w:t>
      </w:r>
      <w:r w:rsidR="00920B7A" w:rsidRPr="003033B2">
        <w:rPr>
          <w:rFonts w:eastAsia="Times New Roman" w:cs="Helvetica"/>
          <w:color w:val="444444"/>
          <w:sz w:val="24"/>
          <w:szCs w:val="24"/>
        </w:rPr>
        <w:t xml:space="preserve">is the Senior Director of Clinical Curation at </w:t>
      </w:r>
      <w:proofErr w:type="spellStart"/>
      <w:r w:rsidR="00920B7A" w:rsidRPr="003033B2">
        <w:rPr>
          <w:rFonts w:eastAsia="Times New Roman" w:cs="Helvetica"/>
          <w:color w:val="444444"/>
          <w:sz w:val="24"/>
          <w:szCs w:val="24"/>
        </w:rPr>
        <w:t>Ashion</w:t>
      </w:r>
      <w:proofErr w:type="spellEnd"/>
      <w:r w:rsidR="00920B7A" w:rsidRPr="003033B2">
        <w:rPr>
          <w:rFonts w:eastAsia="Times New Roman" w:cs="Helvetica"/>
          <w:color w:val="444444"/>
          <w:sz w:val="24"/>
          <w:szCs w:val="24"/>
        </w:rPr>
        <w:t>, where she is</w:t>
      </w:r>
      <w:r w:rsidRPr="003033B2">
        <w:rPr>
          <w:rFonts w:eastAsia="Times New Roman" w:cs="Helvetica"/>
          <w:color w:val="444444"/>
          <w:sz w:val="24"/>
          <w:szCs w:val="24"/>
        </w:rPr>
        <w:t xml:space="preserve"> responsible for characterizing genetic alterations present in tumor DNA and creating a knowledgebase of actionable biomarkers by gathering evidence</w:t>
      </w:r>
      <w:r w:rsidR="00920B7A" w:rsidRPr="003033B2">
        <w:rPr>
          <w:rFonts w:eastAsia="Times New Roman" w:cs="Helvetica"/>
          <w:color w:val="444444"/>
          <w:sz w:val="24"/>
          <w:szCs w:val="24"/>
        </w:rPr>
        <w:t xml:space="preserve"> from scientific literature</w:t>
      </w:r>
      <w:r w:rsidRPr="003033B2">
        <w:rPr>
          <w:rFonts w:eastAsia="Times New Roman" w:cs="Helvetica"/>
          <w:color w:val="444444"/>
          <w:sz w:val="24"/>
          <w:szCs w:val="24"/>
        </w:rPr>
        <w:t xml:space="preserve">. Dr. Basu has authored </w:t>
      </w:r>
      <w:r w:rsidR="00920B7A" w:rsidRPr="003033B2">
        <w:rPr>
          <w:rFonts w:eastAsia="Times New Roman" w:cs="Helvetica"/>
          <w:color w:val="444444"/>
          <w:sz w:val="24"/>
          <w:szCs w:val="24"/>
        </w:rPr>
        <w:t>29</w:t>
      </w:r>
      <w:r w:rsidRPr="003033B2">
        <w:rPr>
          <w:rFonts w:eastAsia="Times New Roman" w:cs="Helvetica"/>
          <w:color w:val="444444"/>
          <w:sz w:val="24"/>
          <w:szCs w:val="24"/>
        </w:rPr>
        <w:t xml:space="preserve"> articles in peer-reviewed journals and has presented at over 50 national and international conferences. She is listed as an inventor on nine patents related to tumor profiling. Previously, Dr. Basu worked at </w:t>
      </w:r>
      <w:proofErr w:type="spellStart"/>
      <w:r w:rsidRPr="003033B2">
        <w:rPr>
          <w:rFonts w:eastAsia="Times New Roman" w:cs="Helvetica"/>
          <w:color w:val="444444"/>
          <w:sz w:val="24"/>
          <w:szCs w:val="24"/>
        </w:rPr>
        <w:t>Caris</w:t>
      </w:r>
      <w:proofErr w:type="spellEnd"/>
      <w:r w:rsidRPr="003033B2">
        <w:rPr>
          <w:rFonts w:eastAsia="Times New Roman" w:cs="Helvetica"/>
          <w:color w:val="444444"/>
          <w:sz w:val="24"/>
          <w:szCs w:val="24"/>
        </w:rPr>
        <w:t xml:space="preserve"> Life Sciences in various leadership positions and prior to that she worked as a scientist at Translational Genomics Research Institute (</w:t>
      </w:r>
      <w:proofErr w:type="spellStart"/>
      <w:r w:rsidRPr="003033B2">
        <w:rPr>
          <w:rFonts w:eastAsia="Times New Roman" w:cs="Helvetica"/>
          <w:color w:val="444444"/>
          <w:sz w:val="24"/>
          <w:szCs w:val="24"/>
        </w:rPr>
        <w:t>TGen</w:t>
      </w:r>
      <w:proofErr w:type="spellEnd"/>
      <w:r w:rsidRPr="003033B2">
        <w:rPr>
          <w:rFonts w:eastAsia="Times New Roman" w:cs="Helvetica"/>
          <w:color w:val="444444"/>
          <w:sz w:val="24"/>
          <w:szCs w:val="24"/>
        </w:rPr>
        <w:t xml:space="preserve">) and the Mayo Clinic. </w:t>
      </w:r>
    </w:p>
    <w:p w:rsidR="00A95A9B" w:rsidRDefault="00A95A9B">
      <w:pPr>
        <w:rPr>
          <w:rFonts w:eastAsia="Times New Roman" w:cs="Arial"/>
          <w:color w:val="333333"/>
        </w:rPr>
      </w:pPr>
    </w:p>
    <w:p w:rsidR="00920B7A" w:rsidRDefault="00920B7A">
      <w:pPr>
        <w:rPr>
          <w:rFonts w:eastAsia="Times New Roman" w:cs="Arial"/>
          <w:color w:val="333333"/>
        </w:rPr>
      </w:pPr>
    </w:p>
    <w:p w:rsidR="00920B7A" w:rsidRPr="00954394" w:rsidRDefault="00920B7A">
      <w:pPr>
        <w:rPr>
          <w:rFonts w:eastAsia="Times New Roman" w:cs="Arial"/>
          <w:color w:val="333333"/>
        </w:rPr>
      </w:pPr>
    </w:p>
    <w:sectPr w:rsidR="00920B7A" w:rsidRPr="009543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2DF"/>
    <w:rsid w:val="000600BC"/>
    <w:rsid w:val="000C588E"/>
    <w:rsid w:val="00171614"/>
    <w:rsid w:val="001C54AD"/>
    <w:rsid w:val="003033B2"/>
    <w:rsid w:val="0041128C"/>
    <w:rsid w:val="00445D3A"/>
    <w:rsid w:val="004F298F"/>
    <w:rsid w:val="005621BE"/>
    <w:rsid w:val="005D0ACD"/>
    <w:rsid w:val="00613D37"/>
    <w:rsid w:val="0062617F"/>
    <w:rsid w:val="006E3685"/>
    <w:rsid w:val="00757DB9"/>
    <w:rsid w:val="007862AD"/>
    <w:rsid w:val="00854BDA"/>
    <w:rsid w:val="00892B59"/>
    <w:rsid w:val="008B4121"/>
    <w:rsid w:val="008E1437"/>
    <w:rsid w:val="00920B7A"/>
    <w:rsid w:val="00954394"/>
    <w:rsid w:val="009A4CA1"/>
    <w:rsid w:val="009B3B98"/>
    <w:rsid w:val="009D2541"/>
    <w:rsid w:val="00A72F9E"/>
    <w:rsid w:val="00A8734E"/>
    <w:rsid w:val="00A95A9B"/>
    <w:rsid w:val="00AE5BDA"/>
    <w:rsid w:val="00CD5F45"/>
    <w:rsid w:val="00CF22DF"/>
    <w:rsid w:val="00E02A18"/>
    <w:rsid w:val="00F9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2CFDF"/>
  <w15:chartTrackingRefBased/>
  <w15:docId w15:val="{0102E706-B990-456B-9008-5F5F6DA4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2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3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5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25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565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87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53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hyperlink" Target="http://www.ashiondx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Gargi Basu</dc:creator>
  <cp:keywords/>
  <dc:description/>
  <cp:lastModifiedBy>Gargi Basu</cp:lastModifiedBy>
  <cp:revision>12</cp:revision>
  <dcterms:created xsi:type="dcterms:W3CDTF">2016-06-28T19:19:00Z</dcterms:created>
  <dcterms:modified xsi:type="dcterms:W3CDTF">2016-06-29T21:56:00Z</dcterms:modified>
</cp:coreProperties>
</file>