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1A03" w:rsidRDefault="00871A03" w:rsidP="00F9797A">
      <w:pPr>
        <w:jc w:val="center"/>
        <w:rPr>
          <w:rFonts w:asciiTheme="majorBidi" w:hAnsiTheme="majorBidi" w:cstheme="majorBidi"/>
          <w:sz w:val="24"/>
          <w:szCs w:val="24"/>
        </w:rPr>
      </w:pPr>
      <w:r>
        <w:rPr>
          <w:rFonts w:asciiTheme="majorBidi" w:hAnsiTheme="majorBidi" w:cstheme="majorBidi"/>
          <w:sz w:val="24"/>
          <w:szCs w:val="24"/>
        </w:rPr>
        <w:t>Thyroid function</w:t>
      </w:r>
      <w:r w:rsidR="00AF1F4E">
        <w:rPr>
          <w:rFonts w:asciiTheme="majorBidi" w:hAnsiTheme="majorBidi" w:cstheme="majorBidi"/>
          <w:sz w:val="24"/>
          <w:szCs w:val="24"/>
        </w:rPr>
        <w:t xml:space="preserve"> status</w:t>
      </w:r>
      <w:r>
        <w:rPr>
          <w:rFonts w:asciiTheme="majorBidi" w:hAnsiTheme="majorBidi" w:cstheme="majorBidi"/>
          <w:sz w:val="24"/>
          <w:szCs w:val="24"/>
        </w:rPr>
        <w:t xml:space="preserve"> and related factors in children with type one diabetes mellitus</w:t>
      </w:r>
    </w:p>
    <w:p w:rsidR="00773AFE" w:rsidRDefault="00773AFE" w:rsidP="00773AFE">
      <w:pPr>
        <w:jc w:val="center"/>
        <w:rPr>
          <w:rFonts w:asciiTheme="majorBidi" w:hAnsiTheme="majorBidi" w:cstheme="majorBidi"/>
          <w:sz w:val="24"/>
          <w:szCs w:val="24"/>
        </w:rPr>
      </w:pPr>
      <w:r>
        <w:rPr>
          <w:rFonts w:asciiTheme="majorBidi" w:hAnsiTheme="majorBidi" w:cstheme="majorBidi"/>
          <w:sz w:val="24"/>
          <w:szCs w:val="24"/>
        </w:rPr>
        <w:t xml:space="preserve">Mohammad Ahmadi, Farzaneh Rohani, Nakysa Homan </w:t>
      </w:r>
    </w:p>
    <w:p w:rsidR="0045005F" w:rsidRDefault="0045005F" w:rsidP="00773AFE">
      <w:pPr>
        <w:jc w:val="center"/>
        <w:rPr>
          <w:rFonts w:asciiTheme="majorBidi" w:hAnsiTheme="majorBidi" w:cstheme="majorBidi"/>
          <w:sz w:val="24"/>
          <w:szCs w:val="24"/>
        </w:rPr>
      </w:pPr>
    </w:p>
    <w:p w:rsidR="00871A03" w:rsidRDefault="00871A03" w:rsidP="00773AFE">
      <w:pPr>
        <w:jc w:val="both"/>
        <w:rPr>
          <w:rFonts w:asciiTheme="majorBidi" w:hAnsiTheme="majorBidi" w:cstheme="majorBidi"/>
          <w:sz w:val="24"/>
          <w:szCs w:val="24"/>
        </w:rPr>
      </w:pPr>
      <w:r>
        <w:rPr>
          <w:rFonts w:asciiTheme="majorBidi" w:hAnsiTheme="majorBidi" w:cstheme="majorBidi"/>
          <w:sz w:val="24"/>
          <w:szCs w:val="24"/>
        </w:rPr>
        <w:t>Aim of study:</w:t>
      </w:r>
      <w:r w:rsidR="00773AFE">
        <w:rPr>
          <w:rFonts w:asciiTheme="majorBidi" w:hAnsiTheme="majorBidi" w:cstheme="majorBidi"/>
          <w:sz w:val="24"/>
          <w:szCs w:val="24"/>
        </w:rPr>
        <w:t xml:space="preserve">  auto immune endocrinopahties could be co-occurred with type one diabetes mellitus in some cases bot not all. Here we tried to investigate prevalence of hypo and hyperthyroidism in children with type one diabetes mellitus and related factors.  </w:t>
      </w:r>
    </w:p>
    <w:p w:rsidR="00871A03" w:rsidRDefault="00871A03" w:rsidP="000974FD">
      <w:pPr>
        <w:jc w:val="both"/>
        <w:rPr>
          <w:rFonts w:asciiTheme="majorBidi" w:hAnsiTheme="majorBidi" w:cstheme="majorBidi"/>
          <w:sz w:val="24"/>
          <w:szCs w:val="24"/>
        </w:rPr>
      </w:pPr>
      <w:r>
        <w:rPr>
          <w:rFonts w:asciiTheme="majorBidi" w:hAnsiTheme="majorBidi" w:cstheme="majorBidi"/>
          <w:sz w:val="24"/>
          <w:szCs w:val="24"/>
        </w:rPr>
        <w:t>Method:</w:t>
      </w:r>
      <w:r w:rsidR="00773AFE" w:rsidRPr="00290E00">
        <w:t xml:space="preserve"> </w:t>
      </w:r>
      <w:r w:rsidR="00773AFE" w:rsidRPr="00290E00">
        <w:rPr>
          <w:rFonts w:asciiTheme="majorBidi" w:hAnsiTheme="majorBidi" w:cstheme="majorBidi"/>
          <w:sz w:val="24"/>
          <w:szCs w:val="24"/>
        </w:rPr>
        <w:t>Ninety</w:t>
      </w:r>
      <w:r w:rsidR="0042328F">
        <w:rPr>
          <w:rFonts w:asciiTheme="majorBidi" w:hAnsiTheme="majorBidi" w:cstheme="majorBidi" w:hint="cs"/>
          <w:sz w:val="24"/>
          <w:szCs w:val="24"/>
          <w:rtl/>
        </w:rPr>
        <w:t xml:space="preserve"> </w:t>
      </w:r>
      <w:r w:rsidR="0042328F">
        <w:rPr>
          <w:rFonts w:asciiTheme="majorBidi" w:hAnsiTheme="majorBidi" w:cstheme="majorBidi"/>
          <w:sz w:val="24"/>
          <w:szCs w:val="24"/>
        </w:rPr>
        <w:t>one</w:t>
      </w:r>
      <w:r w:rsidR="00773AFE" w:rsidRPr="00290E00">
        <w:rPr>
          <w:rFonts w:asciiTheme="majorBidi" w:hAnsiTheme="majorBidi" w:cstheme="majorBidi"/>
          <w:sz w:val="24"/>
          <w:szCs w:val="24"/>
        </w:rPr>
        <w:t xml:space="preserve"> patients with stable T1D aged 2–18 years with no history of recent infection were included. Written informed Consents were taken from the parents before enrollment.  Variables were age, gender, weight and height percentile, body mass index, thyroid status, blood pressure, HbA1C, serum creatinine,</w:t>
      </w:r>
      <w:r w:rsidR="00773AFE">
        <w:rPr>
          <w:rFonts w:asciiTheme="majorBidi" w:hAnsiTheme="majorBidi" w:cstheme="majorBidi"/>
          <w:sz w:val="24"/>
          <w:szCs w:val="24"/>
        </w:rPr>
        <w:t xml:space="preserve"> 24 hours urine albumin and GFR, compared against </w:t>
      </w:r>
      <w:r w:rsidR="000974FD">
        <w:rPr>
          <w:rFonts w:asciiTheme="majorBidi" w:hAnsiTheme="majorBidi" w:cstheme="majorBidi"/>
          <w:sz w:val="24"/>
          <w:szCs w:val="24"/>
        </w:rPr>
        <w:t>thyroid function status,</w:t>
      </w:r>
      <w:r w:rsidR="00773AFE">
        <w:rPr>
          <w:rFonts w:asciiTheme="majorBidi" w:hAnsiTheme="majorBidi" w:cstheme="majorBidi"/>
          <w:sz w:val="24"/>
          <w:szCs w:val="24"/>
        </w:rPr>
        <w:t xml:space="preserve"> using appropriate statistical approach. </w:t>
      </w:r>
    </w:p>
    <w:p w:rsidR="00871A03" w:rsidRDefault="00871A03" w:rsidP="00724F62">
      <w:pPr>
        <w:jc w:val="both"/>
        <w:rPr>
          <w:rFonts w:asciiTheme="majorBidi" w:hAnsiTheme="majorBidi" w:cstheme="majorBidi"/>
          <w:sz w:val="24"/>
          <w:szCs w:val="24"/>
          <w:lang w:bidi="fa-IR"/>
        </w:rPr>
      </w:pPr>
      <w:r>
        <w:rPr>
          <w:rFonts w:asciiTheme="majorBidi" w:hAnsiTheme="majorBidi" w:cstheme="majorBidi"/>
          <w:sz w:val="24"/>
          <w:szCs w:val="24"/>
        </w:rPr>
        <w:t>Results:</w:t>
      </w:r>
      <w:r w:rsidR="0042328F">
        <w:rPr>
          <w:rFonts w:asciiTheme="majorBidi" w:hAnsiTheme="majorBidi" w:cstheme="majorBidi" w:hint="cs"/>
          <w:sz w:val="24"/>
          <w:szCs w:val="24"/>
          <w:rtl/>
        </w:rPr>
        <w:t xml:space="preserve"> </w:t>
      </w:r>
      <w:r w:rsidR="0042328F">
        <w:rPr>
          <w:rFonts w:asciiTheme="majorBidi" w:hAnsiTheme="majorBidi" w:cstheme="majorBidi"/>
          <w:sz w:val="24"/>
          <w:szCs w:val="24"/>
        </w:rPr>
        <w:t xml:space="preserve"> total of 91 patients, 11 patients (12.</w:t>
      </w:r>
      <w:r w:rsidR="0042328F">
        <w:rPr>
          <w:rFonts w:asciiTheme="majorBidi" w:hAnsiTheme="majorBidi" w:cstheme="majorBidi" w:hint="cs"/>
          <w:sz w:val="24"/>
          <w:szCs w:val="24"/>
          <w:rtl/>
        </w:rPr>
        <w:t>1</w:t>
      </w:r>
      <w:r w:rsidR="0042328F">
        <w:rPr>
          <w:rFonts w:asciiTheme="majorBidi" w:hAnsiTheme="majorBidi" w:cstheme="majorBidi"/>
          <w:sz w:val="24"/>
          <w:szCs w:val="24"/>
        </w:rPr>
        <w:t>%) were hypothyroid,</w:t>
      </w:r>
      <w:r w:rsidR="0042328F">
        <w:rPr>
          <w:rFonts w:asciiTheme="majorBidi" w:hAnsiTheme="majorBidi" w:cstheme="majorBidi" w:hint="cs"/>
          <w:sz w:val="24"/>
          <w:szCs w:val="24"/>
          <w:rtl/>
        </w:rPr>
        <w:t xml:space="preserve"> </w:t>
      </w:r>
      <w:r w:rsidR="0042328F">
        <w:rPr>
          <w:rFonts w:asciiTheme="majorBidi" w:hAnsiTheme="majorBidi" w:cstheme="majorBidi"/>
          <w:sz w:val="24"/>
          <w:szCs w:val="24"/>
          <w:rtl/>
        </w:rPr>
        <w:t>2</w:t>
      </w:r>
      <w:r w:rsidR="0042328F">
        <w:rPr>
          <w:rFonts w:asciiTheme="majorBidi" w:hAnsiTheme="majorBidi" w:cstheme="majorBidi" w:hint="cs"/>
          <w:sz w:val="24"/>
          <w:szCs w:val="24"/>
          <w:rtl/>
        </w:rPr>
        <w:t xml:space="preserve"> </w:t>
      </w:r>
      <w:r w:rsidR="0042328F">
        <w:rPr>
          <w:rFonts w:asciiTheme="majorBidi" w:hAnsiTheme="majorBidi" w:cstheme="majorBidi"/>
          <w:sz w:val="24"/>
          <w:szCs w:val="24"/>
        </w:rPr>
        <w:t xml:space="preserve">patients (2.2%) were hyperthyroid, and </w:t>
      </w:r>
      <w:r w:rsidR="0042328F">
        <w:rPr>
          <w:rFonts w:asciiTheme="majorBidi" w:hAnsiTheme="majorBidi" w:cstheme="majorBidi" w:hint="cs"/>
          <w:sz w:val="24"/>
          <w:szCs w:val="24"/>
          <w:rtl/>
          <w:lang w:bidi="fa-IR"/>
        </w:rPr>
        <w:t xml:space="preserve">78 </w:t>
      </w:r>
      <w:r w:rsidR="0042328F">
        <w:rPr>
          <w:rFonts w:asciiTheme="majorBidi" w:hAnsiTheme="majorBidi" w:cstheme="majorBidi"/>
          <w:sz w:val="24"/>
          <w:szCs w:val="24"/>
          <w:lang w:bidi="fa-IR"/>
        </w:rPr>
        <w:t xml:space="preserve">reminded patients (85.7%) were euthyroid. </w:t>
      </w:r>
      <w:r w:rsidR="006755B6">
        <w:rPr>
          <w:rFonts w:asciiTheme="majorBidi" w:hAnsiTheme="majorBidi" w:cstheme="majorBidi" w:hint="cs"/>
          <w:sz w:val="24"/>
          <w:szCs w:val="24"/>
          <w:rtl/>
          <w:lang w:bidi="fa-IR"/>
        </w:rPr>
        <w:t xml:space="preserve"> </w:t>
      </w:r>
      <w:r w:rsidR="006755B6">
        <w:rPr>
          <w:rFonts w:asciiTheme="majorBidi" w:hAnsiTheme="majorBidi" w:cstheme="majorBidi"/>
          <w:sz w:val="24"/>
          <w:szCs w:val="24"/>
          <w:lang w:bidi="fa-IR"/>
        </w:rPr>
        <w:t>Tanner stage,</w:t>
      </w:r>
      <w:r w:rsidR="00AF1F4E">
        <w:rPr>
          <w:rFonts w:asciiTheme="majorBidi" w:hAnsiTheme="majorBidi" w:cstheme="majorBidi" w:hint="cs"/>
          <w:sz w:val="24"/>
          <w:szCs w:val="24"/>
          <w:rtl/>
          <w:lang w:bidi="fa-IR"/>
        </w:rPr>
        <w:t xml:space="preserve"> </w:t>
      </w:r>
      <w:r w:rsidR="00AF1F4E">
        <w:rPr>
          <w:rFonts w:asciiTheme="majorBidi" w:hAnsiTheme="majorBidi" w:cstheme="majorBidi"/>
          <w:sz w:val="24"/>
          <w:szCs w:val="24"/>
          <w:lang w:bidi="fa-IR"/>
        </w:rPr>
        <w:t xml:space="preserve">Body mass index and weight percentile were significantly associated with thyroid function status. </w:t>
      </w:r>
      <w:r w:rsidR="00724F62">
        <w:rPr>
          <w:rFonts w:asciiTheme="majorBidi" w:hAnsiTheme="majorBidi" w:cstheme="majorBidi"/>
          <w:sz w:val="24"/>
          <w:szCs w:val="24"/>
          <w:lang w:bidi="fa-IR"/>
        </w:rPr>
        <w:t xml:space="preserve">Most of the euthyroid patients were at pre pubertal stage. </w:t>
      </w:r>
    </w:p>
    <w:p w:rsidR="00871A03" w:rsidRDefault="00871A03" w:rsidP="00724F62">
      <w:pPr>
        <w:jc w:val="both"/>
        <w:rPr>
          <w:rFonts w:asciiTheme="majorBidi" w:hAnsiTheme="majorBidi" w:cstheme="majorBidi" w:hint="cs"/>
          <w:sz w:val="24"/>
          <w:szCs w:val="24"/>
          <w:rtl/>
          <w:lang w:bidi="fa-IR"/>
        </w:rPr>
      </w:pPr>
      <w:r>
        <w:rPr>
          <w:rFonts w:asciiTheme="majorBidi" w:hAnsiTheme="majorBidi" w:cstheme="majorBidi"/>
          <w:sz w:val="24"/>
          <w:szCs w:val="24"/>
        </w:rPr>
        <w:t>Conclusion:</w:t>
      </w:r>
      <w:r w:rsidR="00724F62" w:rsidRPr="00724F62">
        <w:rPr>
          <w:rFonts w:asciiTheme="majorBidi" w:hAnsiTheme="majorBidi" w:cstheme="majorBidi"/>
          <w:sz w:val="24"/>
          <w:szCs w:val="24"/>
          <w:lang w:bidi="fa-IR"/>
        </w:rPr>
        <w:t xml:space="preserve"> </w:t>
      </w:r>
      <w:r w:rsidR="00724F62">
        <w:rPr>
          <w:rFonts w:asciiTheme="majorBidi" w:hAnsiTheme="majorBidi" w:cstheme="majorBidi"/>
          <w:sz w:val="24"/>
          <w:szCs w:val="24"/>
          <w:lang w:bidi="fa-IR"/>
        </w:rPr>
        <w:t>It seems that co-existed thyroid function abnormalities in diabetes mellitus are exacerbated by progress in puberty.</w:t>
      </w:r>
      <w:r w:rsidR="00724F62">
        <w:rPr>
          <w:rFonts w:asciiTheme="majorBidi" w:hAnsiTheme="majorBidi" w:cstheme="majorBidi"/>
          <w:sz w:val="24"/>
          <w:szCs w:val="24"/>
          <w:lang w:bidi="fa-IR"/>
        </w:rPr>
        <w:t xml:space="preserve"> Higher weight percentile and body mass index in thyroid may be cause or impact of thyroid function abnormality. Treatment with </w:t>
      </w:r>
      <w:r w:rsidR="0045005F">
        <w:rPr>
          <w:rFonts w:asciiTheme="majorBidi" w:hAnsiTheme="majorBidi" w:cstheme="majorBidi"/>
          <w:sz w:val="24"/>
          <w:szCs w:val="24"/>
          <w:lang w:bidi="fa-IR"/>
        </w:rPr>
        <w:t>Insulin</w:t>
      </w:r>
      <w:bookmarkStart w:id="0" w:name="_GoBack"/>
      <w:bookmarkEnd w:id="0"/>
      <w:r w:rsidR="0045005F">
        <w:rPr>
          <w:rFonts w:asciiTheme="majorBidi" w:hAnsiTheme="majorBidi" w:cstheme="majorBidi"/>
          <w:sz w:val="24"/>
          <w:szCs w:val="24"/>
          <w:lang w:bidi="fa-IR"/>
        </w:rPr>
        <w:t xml:space="preserve"> also</w:t>
      </w:r>
      <w:r w:rsidR="00724F62">
        <w:rPr>
          <w:rFonts w:asciiTheme="majorBidi" w:hAnsiTheme="majorBidi" w:cstheme="majorBidi"/>
          <w:sz w:val="24"/>
          <w:szCs w:val="24"/>
          <w:lang w:bidi="fa-IR"/>
        </w:rPr>
        <w:t xml:space="preserve"> may be suspected. </w:t>
      </w:r>
    </w:p>
    <w:p w:rsidR="00F9797A" w:rsidRDefault="00871A03" w:rsidP="00F9797A">
      <w:pPr>
        <w:jc w:val="center"/>
        <w:rPr>
          <w:rFonts w:asciiTheme="majorBidi" w:hAnsiTheme="majorBidi" w:cstheme="majorBidi"/>
          <w:sz w:val="24"/>
          <w:szCs w:val="24"/>
        </w:rPr>
      </w:pPr>
      <w:r>
        <w:rPr>
          <w:rFonts w:asciiTheme="majorBidi" w:hAnsiTheme="majorBidi" w:cstheme="majorBidi"/>
          <w:sz w:val="24"/>
          <w:szCs w:val="24"/>
        </w:rPr>
        <w:t>Key words:</w:t>
      </w:r>
      <w:r w:rsidR="00F9797A" w:rsidRPr="00F9797A">
        <w:rPr>
          <w:rFonts w:asciiTheme="majorBidi" w:hAnsiTheme="majorBidi" w:cstheme="majorBidi"/>
          <w:sz w:val="24"/>
          <w:szCs w:val="24"/>
        </w:rPr>
        <w:t xml:space="preserve"> </w:t>
      </w:r>
      <w:r w:rsidR="00F9797A">
        <w:rPr>
          <w:rFonts w:asciiTheme="majorBidi" w:hAnsiTheme="majorBidi" w:cstheme="majorBidi"/>
          <w:sz w:val="24"/>
          <w:szCs w:val="24"/>
        </w:rPr>
        <w:t>Thyroid function, children, type one diabetes mellitus, hyperthyroidism</w:t>
      </w:r>
    </w:p>
    <w:p w:rsidR="00871A03" w:rsidRDefault="00871A03" w:rsidP="00871A03">
      <w:pPr>
        <w:rPr>
          <w:rFonts w:asciiTheme="majorBidi" w:hAnsiTheme="majorBidi" w:cstheme="majorBidi"/>
          <w:sz w:val="24"/>
          <w:szCs w:val="24"/>
        </w:rPr>
      </w:pPr>
    </w:p>
    <w:p w:rsidR="006D1028" w:rsidRDefault="006D1028"/>
    <w:sectPr w:rsidR="006D10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90204"/>
    <w:charset w:val="00"/>
    <w:family w:val="swiss"/>
    <w:pitch w:val="variable"/>
    <w:sig w:usb0="E0002AFF" w:usb1="00007843" w:usb2="00000001"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0AF9"/>
    <w:rsid w:val="000974FD"/>
    <w:rsid w:val="0042328F"/>
    <w:rsid w:val="0045005F"/>
    <w:rsid w:val="005D0AF9"/>
    <w:rsid w:val="006755B6"/>
    <w:rsid w:val="006D1028"/>
    <w:rsid w:val="00724F62"/>
    <w:rsid w:val="00773AFE"/>
    <w:rsid w:val="00871A03"/>
    <w:rsid w:val="008E105E"/>
    <w:rsid w:val="00AF1F4E"/>
    <w:rsid w:val="00F9797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647102-E20A-4134-A780-8563DFF43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1A03"/>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1941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228</Words>
  <Characters>1302</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LMN</dc:creator>
  <cp:keywords/>
  <dc:description/>
  <cp:lastModifiedBy>LMN</cp:lastModifiedBy>
  <cp:revision>12</cp:revision>
  <dcterms:created xsi:type="dcterms:W3CDTF">2017-09-10T15:13:00Z</dcterms:created>
  <dcterms:modified xsi:type="dcterms:W3CDTF">2017-09-11T08:15:00Z</dcterms:modified>
</cp:coreProperties>
</file>