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D75E48" w14:textId="77777777" w:rsidR="00BD4600" w:rsidRDefault="00BD4600" w:rsidP="00BD4600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</w:t>
      </w:r>
    </w:p>
    <w:p w14:paraId="1E48DA2F" w14:textId="77777777" w:rsidR="00BD4600" w:rsidRDefault="00BD4600" w:rsidP="00BD4600">
      <w:pPr>
        <w:widowControl w:val="0"/>
        <w:autoSpaceDE w:val="0"/>
        <w:autoSpaceDN w:val="0"/>
        <w:adjustRightInd w:val="0"/>
        <w:jc w:val="center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     </w:t>
      </w:r>
      <w:r>
        <w:rPr>
          <w:b/>
          <w:noProof/>
          <w:szCs w:val="24"/>
          <w:lang w:val="en-US"/>
        </w:rPr>
        <w:drawing>
          <wp:inline distT="0" distB="0" distL="0" distR="0" wp14:anchorId="7705F7AC" wp14:editId="34AE32CE">
            <wp:extent cx="1385972" cy="1462249"/>
            <wp:effectExtent l="0" t="0" r="11430" b="114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248" cy="146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6F15F" w14:textId="77777777" w:rsidR="00BD4600" w:rsidRDefault="00BD4600" w:rsidP="00BD4600">
      <w:pPr>
        <w:widowControl w:val="0"/>
        <w:autoSpaceDE w:val="0"/>
        <w:autoSpaceDN w:val="0"/>
        <w:adjustRightInd w:val="0"/>
        <w:rPr>
          <w:b/>
          <w:szCs w:val="24"/>
        </w:rPr>
      </w:pPr>
    </w:p>
    <w:p w14:paraId="15C6C17A" w14:textId="77777777" w:rsidR="00BD4600" w:rsidRDefault="00BD4600" w:rsidP="00BD46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D4600">
        <w:rPr>
          <w:sz w:val="28"/>
          <w:szCs w:val="28"/>
        </w:rPr>
        <w:t>GSTP1 I105V P</w:t>
      </w:r>
      <w:r w:rsidR="00091D2B">
        <w:rPr>
          <w:sz w:val="28"/>
          <w:szCs w:val="28"/>
        </w:rPr>
        <w:t xml:space="preserve">olymorphism as a risk Factor of Wound Dehischence in </w:t>
      </w:r>
      <w:r w:rsidR="000813FB">
        <w:rPr>
          <w:sz w:val="28"/>
          <w:szCs w:val="28"/>
        </w:rPr>
        <w:t xml:space="preserve">Pediatric Major Abdominal Surgery </w:t>
      </w:r>
    </w:p>
    <w:p w14:paraId="04F91175" w14:textId="77777777" w:rsidR="000813FB" w:rsidRDefault="000813FB" w:rsidP="00BD460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9F717C2" w14:textId="13E98D0C" w:rsidR="000813FB" w:rsidRPr="00AB49A6" w:rsidRDefault="00AB49A6" w:rsidP="00AB49A6">
      <w:pPr>
        <w:spacing w:before="100" w:beforeAutospacing="1" w:after="100" w:afterAutospacing="1"/>
        <w:jc w:val="center"/>
        <w:rPr>
          <w:color w:val="000000"/>
          <w:vertAlign w:val="superscript"/>
          <w:lang w:val="en-US"/>
        </w:rPr>
      </w:pPr>
      <w:r w:rsidRPr="005715C0">
        <w:rPr>
          <w:color w:val="000000"/>
          <w:lang w:val="en-US"/>
        </w:rPr>
        <w:t>Tinuk Agung Meilany</w:t>
      </w:r>
      <w:r w:rsidRPr="005715C0">
        <w:rPr>
          <w:color w:val="000000"/>
          <w:vertAlign w:val="superscript"/>
          <w:lang w:val="en-US"/>
        </w:rPr>
        <w:t>1</w:t>
      </w:r>
      <w:r w:rsidRPr="005715C0">
        <w:rPr>
          <w:color w:val="000000"/>
          <w:lang w:val="en-US"/>
        </w:rPr>
        <w:t xml:space="preserve">, </w:t>
      </w:r>
      <w:proofErr w:type="spellStart"/>
      <w:r w:rsidRPr="005715C0">
        <w:rPr>
          <w:color w:val="000000"/>
          <w:lang w:val="en-US"/>
        </w:rPr>
        <w:t>Herawati</w:t>
      </w:r>
      <w:proofErr w:type="spellEnd"/>
      <w:r w:rsidRPr="005715C0">
        <w:rPr>
          <w:color w:val="000000"/>
          <w:lang w:val="en-US"/>
        </w:rPr>
        <w:t xml:space="preserve"> Sudoyo</w:t>
      </w:r>
      <w:r w:rsidRPr="005715C0">
        <w:rPr>
          <w:color w:val="000000"/>
          <w:vertAlign w:val="superscript"/>
          <w:lang w:val="en-US"/>
        </w:rPr>
        <w:t>2</w:t>
      </w:r>
      <w:r w:rsidRPr="005715C0">
        <w:rPr>
          <w:color w:val="000000"/>
          <w:lang w:val="en-US"/>
        </w:rPr>
        <w:t>, David Perdanakusuma</w:t>
      </w:r>
      <w:r w:rsidRPr="005715C0">
        <w:rPr>
          <w:color w:val="000000"/>
          <w:vertAlign w:val="superscript"/>
          <w:lang w:val="en-US"/>
        </w:rPr>
        <w:t>3</w:t>
      </w:r>
      <w:r w:rsidRPr="005715C0">
        <w:rPr>
          <w:color w:val="000000"/>
          <w:lang w:val="en-US"/>
        </w:rPr>
        <w:t xml:space="preserve">, </w:t>
      </w:r>
      <w:proofErr w:type="spellStart"/>
      <w:r w:rsidRPr="005715C0">
        <w:rPr>
          <w:color w:val="000000"/>
          <w:lang w:val="en-US"/>
        </w:rPr>
        <w:t>Septelia</w:t>
      </w:r>
      <w:proofErr w:type="spellEnd"/>
      <w:r w:rsidRPr="005715C0">
        <w:rPr>
          <w:color w:val="000000"/>
          <w:lang w:val="en-US"/>
        </w:rPr>
        <w:t xml:space="preserve"> Inawati</w:t>
      </w:r>
      <w:r w:rsidRPr="005715C0">
        <w:rPr>
          <w:color w:val="000000"/>
          <w:vertAlign w:val="superscript"/>
          <w:lang w:val="en-US"/>
        </w:rPr>
        <w:t>4</w:t>
      </w:r>
      <w:r w:rsidRPr="005715C0">
        <w:rPr>
          <w:color w:val="000000"/>
          <w:lang w:val="en-US"/>
        </w:rPr>
        <w:t xml:space="preserve">, </w:t>
      </w:r>
      <w:proofErr w:type="spellStart"/>
      <w:r w:rsidRPr="005715C0">
        <w:rPr>
          <w:color w:val="000000"/>
          <w:lang w:val="en-US"/>
        </w:rPr>
        <w:t>Jeodo</w:t>
      </w:r>
      <w:proofErr w:type="spellEnd"/>
      <w:r w:rsidRPr="005715C0">
        <w:rPr>
          <w:color w:val="000000"/>
          <w:lang w:val="en-US"/>
        </w:rPr>
        <w:t xml:space="preserve"> Prihartono</w:t>
      </w:r>
      <w:r w:rsidRPr="005715C0">
        <w:rPr>
          <w:color w:val="000000"/>
          <w:vertAlign w:val="superscript"/>
          <w:lang w:val="en-US"/>
        </w:rPr>
        <w:t>5</w:t>
      </w:r>
      <w:r w:rsidRPr="005715C0">
        <w:rPr>
          <w:color w:val="000000"/>
          <w:lang w:val="en-US"/>
        </w:rPr>
        <w:t xml:space="preserve">, </w:t>
      </w:r>
      <w:proofErr w:type="spellStart"/>
      <w:r w:rsidRPr="005715C0">
        <w:rPr>
          <w:color w:val="000000"/>
          <w:lang w:val="en-US"/>
        </w:rPr>
        <w:t>Damayanti</w:t>
      </w:r>
      <w:proofErr w:type="spellEnd"/>
      <w:r w:rsidRPr="005715C0">
        <w:rPr>
          <w:color w:val="000000"/>
          <w:lang w:val="en-US"/>
        </w:rPr>
        <w:t xml:space="preserve"> R Sjarif</w:t>
      </w:r>
      <w:r w:rsidRPr="005715C0">
        <w:rPr>
          <w:color w:val="000000"/>
          <w:vertAlign w:val="superscript"/>
          <w:lang w:val="en-US"/>
        </w:rPr>
        <w:t>6</w:t>
      </w:r>
      <w:r w:rsidRPr="005715C0">
        <w:rPr>
          <w:color w:val="000000"/>
          <w:lang w:val="en-US"/>
        </w:rPr>
        <w:t xml:space="preserve">. </w:t>
      </w:r>
      <w:proofErr w:type="spellStart"/>
      <w:r w:rsidRPr="005715C0">
        <w:rPr>
          <w:color w:val="000000"/>
          <w:lang w:val="en-US"/>
        </w:rPr>
        <w:t>Akmal</w:t>
      </w:r>
      <w:proofErr w:type="spellEnd"/>
      <w:r w:rsidRPr="005715C0">
        <w:rPr>
          <w:color w:val="000000"/>
          <w:lang w:val="en-US"/>
        </w:rPr>
        <w:t xml:space="preserve"> Taher</w:t>
      </w:r>
      <w:r w:rsidRPr="005715C0">
        <w:rPr>
          <w:color w:val="000000"/>
          <w:vertAlign w:val="superscript"/>
          <w:lang w:val="en-US"/>
        </w:rPr>
        <w:t>7</w:t>
      </w:r>
      <w:r>
        <w:rPr>
          <w:color w:val="000000"/>
          <w:vertAlign w:val="superscript"/>
          <w:lang w:val="en-US"/>
        </w:rPr>
        <w:t xml:space="preserve"> </w:t>
      </w:r>
      <w:r>
        <w:rPr>
          <w:szCs w:val="24"/>
        </w:rPr>
        <w:t xml:space="preserve">                                                                </w:t>
      </w:r>
      <w:r w:rsidR="000813FB" w:rsidRPr="000813FB">
        <w:rPr>
          <w:szCs w:val="24"/>
        </w:rPr>
        <w:t>Indonesia University School of Medicine, Jakarta, Indonesia</w:t>
      </w:r>
    </w:p>
    <w:p w14:paraId="475763B7" w14:textId="77777777" w:rsidR="00BD4600" w:rsidRDefault="00BD4600" w:rsidP="00BD4600">
      <w:pPr>
        <w:rPr>
          <w:lang w:val="en-US"/>
        </w:rPr>
      </w:pPr>
    </w:p>
    <w:p w14:paraId="3A54B38D" w14:textId="77777777" w:rsidR="00AB49A6" w:rsidRDefault="00BD4600" w:rsidP="00BD4600">
      <w:pPr>
        <w:jc w:val="both"/>
        <w:rPr>
          <w:szCs w:val="24"/>
        </w:rPr>
      </w:pPr>
      <w:r>
        <w:t>The risks associated with wound dehiscence are multifactorial. One of the possible underlying mechanisms that increase the risk of wound dehiscence is the presence of</w:t>
      </w:r>
      <w:r w:rsidRPr="00170B52">
        <w:t xml:space="preserve"> Glutation S-transferase </w:t>
      </w:r>
      <w:r>
        <w:rPr>
          <w:lang w:val="en-US"/>
        </w:rPr>
        <w:t xml:space="preserve">P1 </w:t>
      </w:r>
      <w:r w:rsidRPr="00170B52">
        <w:t>(GST</w:t>
      </w:r>
      <w:r>
        <w:rPr>
          <w:lang w:val="en-US"/>
        </w:rPr>
        <w:t>P1 I105V</w:t>
      </w:r>
      <w:r w:rsidRPr="00170B52">
        <w:t>)</w:t>
      </w:r>
      <w:r>
        <w:t xml:space="preserve"> gene polymorphism. The aim of this study is to evaluate the role of </w:t>
      </w:r>
      <w:r w:rsidRPr="00170B52">
        <w:t>GSTP1 I105V</w:t>
      </w:r>
      <w:r>
        <w:t xml:space="preserve"> genetic polymorphism in the development of surgical wound dehiscence in pediatric patient who underwent major abdominal surgery. This is a prospective cohort study conducted at Harapan Kita Mother and Child Hospital. A total of 116 individuals fulfilled the criteria with 3 different genotypes including </w:t>
      </w:r>
      <w:r w:rsidRPr="00170B52">
        <w:rPr>
          <w:color w:val="000000"/>
        </w:rPr>
        <w:t>Ile/Ile</w:t>
      </w:r>
      <w:r w:rsidR="008A4E06">
        <w:rPr>
          <w:color w:val="000000"/>
        </w:rPr>
        <w:t xml:space="preserve"> 48.3%</w:t>
      </w:r>
      <w:r w:rsidRPr="00170B52">
        <w:rPr>
          <w:color w:val="000000"/>
        </w:rPr>
        <w:t>, Val/Val</w:t>
      </w:r>
      <w:r>
        <w:rPr>
          <w:color w:val="000000"/>
        </w:rPr>
        <w:t xml:space="preserve"> </w:t>
      </w:r>
      <w:r w:rsidR="008A4E06">
        <w:rPr>
          <w:color w:val="000000"/>
        </w:rPr>
        <w:t xml:space="preserve">12.9% </w:t>
      </w:r>
      <w:r>
        <w:rPr>
          <w:color w:val="000000"/>
        </w:rPr>
        <w:t>and</w:t>
      </w:r>
      <w:r w:rsidRPr="00170B52">
        <w:rPr>
          <w:color w:val="000000"/>
        </w:rPr>
        <w:t xml:space="preserve"> Ile/Val</w:t>
      </w:r>
      <w:r w:rsidR="008A4E06">
        <w:rPr>
          <w:color w:val="000000"/>
        </w:rPr>
        <w:t xml:space="preserve"> </w:t>
      </w:r>
      <w:r w:rsidR="008A4E06" w:rsidRPr="00170B52">
        <w:rPr>
          <w:color w:val="000000"/>
        </w:rPr>
        <w:t>3</w:t>
      </w:r>
      <w:r w:rsidR="008A4E06">
        <w:rPr>
          <w:color w:val="000000"/>
        </w:rPr>
        <w:t>8.7</w:t>
      </w:r>
      <w:r w:rsidR="008A4E06" w:rsidRPr="00170B52">
        <w:rPr>
          <w:color w:val="000000"/>
        </w:rPr>
        <w:t>%</w:t>
      </w:r>
      <w:r>
        <w:rPr>
          <w:color w:val="000000"/>
        </w:rPr>
        <w:t>, which are stated by PCR-RFLP. All subjects underwent routine blood test in preparation for surgery, GSH:GSSG ratio and carbonyl protein measurement to evaluate the presence of oxidative stress. Measurement of TcPO</w:t>
      </w:r>
      <w:r w:rsidRPr="002343C3">
        <w:rPr>
          <w:color w:val="000000"/>
          <w:vertAlign w:val="subscript"/>
        </w:rPr>
        <w:t>2</w:t>
      </w:r>
      <w:r>
        <w:rPr>
          <w:color w:val="000000"/>
        </w:rPr>
        <w:t xml:space="preserve"> was done in 30% of subject. </w:t>
      </w:r>
      <w:r w:rsidRPr="00170B52">
        <w:t>GSTP1 I105V</w:t>
      </w:r>
      <w:r>
        <w:t xml:space="preserve"> polymorphism did not increase oxidative stress significantly. However, post-operative </w:t>
      </w:r>
      <w:r w:rsidRPr="00170B52">
        <w:t>TcPO</w:t>
      </w:r>
      <w:r w:rsidRPr="00170B52">
        <w:rPr>
          <w:vertAlign w:val="subscript"/>
        </w:rPr>
        <w:t>2</w:t>
      </w:r>
      <w:r>
        <w:rPr>
          <w:vertAlign w:val="subscript"/>
        </w:rPr>
        <w:t xml:space="preserve"> </w:t>
      </w:r>
      <w:r>
        <w:t>measurement was significantly reduced in patients with Ile/Val and</w:t>
      </w:r>
      <w:r w:rsidRPr="00170B52">
        <w:t xml:space="preserve"> Val/Val</w:t>
      </w:r>
      <w:r>
        <w:t xml:space="preserve"> genotype. Furthermore, </w:t>
      </w:r>
      <w:r w:rsidRPr="00170B52">
        <w:t xml:space="preserve">Ile/Val </w:t>
      </w:r>
      <w:r w:rsidR="00DF39F9">
        <w:t>and</w:t>
      </w:r>
      <w:r w:rsidRPr="00170B52">
        <w:t xml:space="preserve"> Val/Val</w:t>
      </w:r>
      <w:r>
        <w:t xml:space="preserve"> GSTP1 polymorphism in subject having surgical complications (anemia, hypoalbumin and septicemia), increased the risk of wound dehiscence respectively: </w:t>
      </w:r>
      <w:r>
        <w:rPr>
          <w:szCs w:val="24"/>
        </w:rPr>
        <w:t>RR 2,86, CI 0,647–12,66, p 0,166; RR 3,  CI 1,829–10,85, p 0,037; RR 3,2, CI 2,876–11,27, p 0,015.</w:t>
      </w:r>
      <w:r w:rsidRPr="00170B52">
        <w:rPr>
          <w:szCs w:val="24"/>
        </w:rPr>
        <w:t xml:space="preserve"> </w:t>
      </w:r>
      <w:r>
        <w:rPr>
          <w:szCs w:val="24"/>
        </w:rPr>
        <w:t>Of note, the RR for septicemia were statistically significant in both the group with polymorphism and in the group with no polymorphism. GSTP1 I105V polymorphisms increases the risk of wound dehiscence</w:t>
      </w:r>
      <w:r w:rsidRPr="008218EE">
        <w:rPr>
          <w:szCs w:val="24"/>
        </w:rPr>
        <w:t xml:space="preserve"> </w:t>
      </w:r>
      <w:r>
        <w:rPr>
          <w:szCs w:val="24"/>
        </w:rPr>
        <w:t>in hipoxic state showed by a decrease in post operative TcPO2 and in patients with hypoalbuminemia</w:t>
      </w:r>
      <w:r w:rsidR="00AB49A6">
        <w:rPr>
          <w:szCs w:val="24"/>
        </w:rPr>
        <w:t>.</w:t>
      </w:r>
    </w:p>
    <w:p w14:paraId="5FBEDA9C" w14:textId="77777777" w:rsidR="00AB49A6" w:rsidRDefault="00AB49A6" w:rsidP="00BD4600">
      <w:pPr>
        <w:jc w:val="both"/>
        <w:rPr>
          <w:szCs w:val="24"/>
        </w:rPr>
      </w:pPr>
    </w:p>
    <w:p w14:paraId="7F27E66B" w14:textId="571A04FC" w:rsidR="00AB49A6" w:rsidRPr="00F005E3" w:rsidRDefault="00AB49A6" w:rsidP="00BD4600">
      <w:pPr>
        <w:jc w:val="both"/>
        <w:rPr>
          <w:b/>
          <w:szCs w:val="24"/>
        </w:rPr>
      </w:pPr>
      <w:r w:rsidRPr="00F005E3">
        <w:rPr>
          <w:b/>
          <w:szCs w:val="24"/>
        </w:rPr>
        <w:t>Biography</w:t>
      </w:r>
    </w:p>
    <w:p w14:paraId="0F339230" w14:textId="59393674" w:rsidR="00F005E3" w:rsidRDefault="00BF25DA" w:rsidP="00BD4600">
      <w:pPr>
        <w:jc w:val="both"/>
        <w:rPr>
          <w:szCs w:val="24"/>
        </w:rPr>
      </w:pPr>
      <w:r>
        <w:rPr>
          <w:szCs w:val="24"/>
        </w:rPr>
        <w:t xml:space="preserve">Tinuk Agung Meilany has completed her PhD at the age 53 years from Indonesia University School of Medicine. She is a pediatrician </w:t>
      </w:r>
      <w:r w:rsidR="00536858">
        <w:rPr>
          <w:szCs w:val="24"/>
        </w:rPr>
        <w:t>at working group in</w:t>
      </w:r>
      <w:r>
        <w:rPr>
          <w:szCs w:val="24"/>
        </w:rPr>
        <w:t xml:space="preserve"> Pediatric Surgery Department, </w:t>
      </w:r>
      <w:r w:rsidR="00536858">
        <w:rPr>
          <w:szCs w:val="24"/>
        </w:rPr>
        <w:t>and as</w:t>
      </w:r>
      <w:bookmarkStart w:id="0" w:name="_GoBack"/>
      <w:bookmarkEnd w:id="0"/>
      <w:r w:rsidR="00F005E3">
        <w:rPr>
          <w:szCs w:val="24"/>
        </w:rPr>
        <w:t xml:space="preserve"> a Pediatric Nutrition Consultant </w:t>
      </w:r>
      <w:r w:rsidR="00536858">
        <w:rPr>
          <w:szCs w:val="24"/>
        </w:rPr>
        <w:t xml:space="preserve">at </w:t>
      </w:r>
      <w:r>
        <w:rPr>
          <w:szCs w:val="24"/>
        </w:rPr>
        <w:t>Harapan Kita Woman and Children Hospital</w:t>
      </w:r>
      <w:r w:rsidR="00F005E3">
        <w:rPr>
          <w:szCs w:val="24"/>
        </w:rPr>
        <w:t xml:space="preserve">. </w:t>
      </w:r>
    </w:p>
    <w:p w14:paraId="5591F84A" w14:textId="77777777" w:rsidR="00F005E3" w:rsidRDefault="00F005E3" w:rsidP="00BD4600">
      <w:pPr>
        <w:jc w:val="both"/>
        <w:rPr>
          <w:szCs w:val="24"/>
        </w:rPr>
      </w:pPr>
    </w:p>
    <w:p w14:paraId="5BEF2245" w14:textId="77777777" w:rsidR="00F005E3" w:rsidRPr="00F005E3" w:rsidRDefault="00F005E3" w:rsidP="00BD4600">
      <w:pPr>
        <w:jc w:val="both"/>
        <w:rPr>
          <w:b/>
          <w:szCs w:val="24"/>
        </w:rPr>
      </w:pPr>
      <w:r w:rsidRPr="00F005E3">
        <w:rPr>
          <w:b/>
          <w:szCs w:val="24"/>
        </w:rPr>
        <w:t>Presenting author details</w:t>
      </w:r>
    </w:p>
    <w:p w14:paraId="00C507D9" w14:textId="77777777" w:rsidR="00F005E3" w:rsidRDefault="00F005E3" w:rsidP="00BD4600">
      <w:pPr>
        <w:jc w:val="both"/>
        <w:rPr>
          <w:szCs w:val="24"/>
        </w:rPr>
      </w:pPr>
      <w:r>
        <w:rPr>
          <w:szCs w:val="24"/>
        </w:rPr>
        <w:t>Tinuk Agung Meilany</w:t>
      </w:r>
    </w:p>
    <w:p w14:paraId="7ADBCB64" w14:textId="77777777" w:rsidR="00F005E3" w:rsidRDefault="00F005E3" w:rsidP="00BD4600">
      <w:pPr>
        <w:jc w:val="both"/>
        <w:rPr>
          <w:szCs w:val="24"/>
        </w:rPr>
      </w:pPr>
      <w:r>
        <w:rPr>
          <w:szCs w:val="24"/>
        </w:rPr>
        <w:t>+62811886482</w:t>
      </w:r>
    </w:p>
    <w:p w14:paraId="4D432552" w14:textId="2D635754" w:rsidR="00F005E3" w:rsidRDefault="00F005E3" w:rsidP="00BD4600">
      <w:pPr>
        <w:jc w:val="both"/>
        <w:rPr>
          <w:szCs w:val="24"/>
        </w:rPr>
      </w:pPr>
      <w:r>
        <w:rPr>
          <w:szCs w:val="24"/>
        </w:rPr>
        <w:t xml:space="preserve">email: </w:t>
      </w:r>
      <w:hyperlink r:id="rId6" w:history="1">
        <w:r w:rsidRPr="00CB12CD">
          <w:rPr>
            <w:rStyle w:val="Hyperlink"/>
            <w:szCs w:val="24"/>
          </w:rPr>
          <w:t>tameilany@gmail.com</w:t>
        </w:r>
      </w:hyperlink>
    </w:p>
    <w:p w14:paraId="6056A507" w14:textId="640B7457" w:rsidR="005C50A5" w:rsidRPr="00536858" w:rsidRDefault="00F005E3" w:rsidP="00536858">
      <w:pPr>
        <w:jc w:val="both"/>
        <w:rPr>
          <w:szCs w:val="24"/>
        </w:rPr>
      </w:pPr>
      <w:r>
        <w:rPr>
          <w:szCs w:val="24"/>
        </w:rPr>
        <w:t>Category: Oral presentation/ poster presentation</w:t>
      </w:r>
      <w:r w:rsidR="00BD4600">
        <w:rPr>
          <w:szCs w:val="24"/>
        </w:rPr>
        <w:t xml:space="preserve"> </w:t>
      </w:r>
    </w:p>
    <w:sectPr w:rsidR="005C50A5" w:rsidRPr="00536858" w:rsidSect="00BD4600">
      <w:pgSz w:w="11900" w:h="16840"/>
      <w:pgMar w:top="1440" w:right="126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00"/>
    <w:rsid w:val="000813FB"/>
    <w:rsid w:val="00091D2B"/>
    <w:rsid w:val="00133C5F"/>
    <w:rsid w:val="00536858"/>
    <w:rsid w:val="005C50A5"/>
    <w:rsid w:val="006249A4"/>
    <w:rsid w:val="008A4E06"/>
    <w:rsid w:val="00AB49A6"/>
    <w:rsid w:val="00BD4600"/>
    <w:rsid w:val="00BF25DA"/>
    <w:rsid w:val="00DE75AB"/>
    <w:rsid w:val="00DF39F9"/>
    <w:rsid w:val="00F0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D2E7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600"/>
    <w:rPr>
      <w:rFonts w:ascii="Times New Roman" w:eastAsia="Calibri" w:hAnsi="Times New Roman" w:cs="Times New Roman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2">
    <w:name w:val="Medium Grid 22"/>
    <w:uiPriority w:val="1"/>
    <w:qFormat/>
    <w:rsid w:val="00BD4600"/>
    <w:pPr>
      <w:jc w:val="both"/>
    </w:pPr>
    <w:rPr>
      <w:rFonts w:ascii="Times New Roman" w:eastAsia="Calibri" w:hAnsi="Times New Roman" w:cs="Times New Roman"/>
      <w:szCs w:val="22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60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600"/>
    <w:rPr>
      <w:rFonts w:ascii="Lucida Grande" w:eastAsia="Calibri" w:hAnsi="Lucida Grande" w:cs="Lucida Grande"/>
      <w:sz w:val="18"/>
      <w:szCs w:val="18"/>
      <w:lang w:val="id-ID"/>
    </w:rPr>
  </w:style>
  <w:style w:type="character" w:styleId="Hyperlink">
    <w:name w:val="Hyperlink"/>
    <w:basedOn w:val="DefaultParagraphFont"/>
    <w:uiPriority w:val="99"/>
    <w:unhideWhenUsed/>
    <w:rsid w:val="00F005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600"/>
    <w:rPr>
      <w:rFonts w:ascii="Times New Roman" w:eastAsia="Calibri" w:hAnsi="Times New Roman" w:cs="Times New Roman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2">
    <w:name w:val="Medium Grid 22"/>
    <w:uiPriority w:val="1"/>
    <w:qFormat/>
    <w:rsid w:val="00BD4600"/>
    <w:pPr>
      <w:jc w:val="both"/>
    </w:pPr>
    <w:rPr>
      <w:rFonts w:ascii="Times New Roman" w:eastAsia="Calibri" w:hAnsi="Times New Roman" w:cs="Times New Roman"/>
      <w:szCs w:val="22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60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600"/>
    <w:rPr>
      <w:rFonts w:ascii="Lucida Grande" w:eastAsia="Calibri" w:hAnsi="Lucida Grande" w:cs="Lucida Grande"/>
      <w:sz w:val="18"/>
      <w:szCs w:val="18"/>
      <w:lang w:val="id-ID"/>
    </w:rPr>
  </w:style>
  <w:style w:type="character" w:styleId="Hyperlink">
    <w:name w:val="Hyperlink"/>
    <w:basedOn w:val="DefaultParagraphFont"/>
    <w:uiPriority w:val="99"/>
    <w:unhideWhenUsed/>
    <w:rsid w:val="00F005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tameilany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394</Words>
  <Characters>2252</Characters>
  <Application>Microsoft Macintosh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tinuk agung meilany</dc:creator>
  <cp:keywords/>
  <dc:description/>
  <cp:lastModifiedBy>tinuk agung meilany</cp:lastModifiedBy>
  <cp:revision>4</cp:revision>
  <dcterms:created xsi:type="dcterms:W3CDTF">2017-04-08T17:25:00Z</dcterms:created>
  <dcterms:modified xsi:type="dcterms:W3CDTF">2017-04-08T23:35:00Z</dcterms:modified>
</cp:coreProperties>
</file>