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15" w:rsidRDefault="002F2A09" w:rsidP="00BD0B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4420F">
        <w:rPr>
          <w:rFonts w:ascii="Times New Roman" w:hAnsi="Times New Roman" w:cs="Times New Roman"/>
          <w:b/>
          <w:sz w:val="24"/>
          <w:szCs w:val="24"/>
        </w:rPr>
        <w:t xml:space="preserve">Role of EEG in </w:t>
      </w:r>
      <w:r w:rsidR="004741D6" w:rsidRPr="0014420F">
        <w:rPr>
          <w:rFonts w:ascii="Times New Roman" w:hAnsi="Times New Roman" w:cs="Times New Roman"/>
          <w:b/>
          <w:sz w:val="24"/>
          <w:szCs w:val="24"/>
        </w:rPr>
        <w:t xml:space="preserve">the diagnosis of </w:t>
      </w:r>
      <w:r w:rsidR="0014420F" w:rsidRPr="0014420F">
        <w:rPr>
          <w:rFonts w:ascii="Times New Roman" w:hAnsi="Times New Roman" w:cs="Times New Roman"/>
          <w:b/>
          <w:sz w:val="24"/>
          <w:szCs w:val="24"/>
        </w:rPr>
        <w:t>encephalopathies in the region of Tobruk, Libya</w:t>
      </w:r>
    </w:p>
    <w:p w:rsidR="0066394B" w:rsidRDefault="0066394B" w:rsidP="00BD0B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 xml:space="preserve">Saeed H. Ali ,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**</w:t>
      </w:r>
      <w:r>
        <w:rPr>
          <w:rFonts w:ascii="Times New Roman" w:hAnsi="Times New Roman" w:cs="Times New Roman"/>
          <w:b/>
          <w:sz w:val="24"/>
          <w:szCs w:val="24"/>
        </w:rPr>
        <w:t>B. Kumar</w:t>
      </w:r>
    </w:p>
    <w:p w:rsidR="0066394B" w:rsidRPr="0066394B" w:rsidRDefault="0066394B" w:rsidP="006639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94B">
        <w:rPr>
          <w:rFonts w:ascii="Times New Roman" w:hAnsi="Times New Roman" w:cs="Times New Roman"/>
          <w:sz w:val="24"/>
          <w:szCs w:val="24"/>
        </w:rPr>
        <w:t>* Assistant Professor,</w:t>
      </w:r>
      <w:r w:rsidR="00E04E35">
        <w:rPr>
          <w:rFonts w:ascii="Times New Roman" w:hAnsi="Times New Roman" w:cs="Times New Roman"/>
          <w:sz w:val="24"/>
          <w:szCs w:val="24"/>
        </w:rPr>
        <w:t xml:space="preserve"> </w:t>
      </w:r>
      <w:r w:rsidRPr="0066394B">
        <w:rPr>
          <w:rFonts w:ascii="Times New Roman" w:hAnsi="Times New Roman" w:cs="Times New Roman"/>
          <w:sz w:val="24"/>
          <w:szCs w:val="24"/>
        </w:rPr>
        <w:t>Faculty of Medicine , Tobruk University, Tobruk, Libya.</w:t>
      </w:r>
    </w:p>
    <w:p w:rsidR="0066394B" w:rsidRPr="0066394B" w:rsidRDefault="0066394B" w:rsidP="006639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6394B">
        <w:rPr>
          <w:rFonts w:ascii="Times New Roman" w:hAnsi="Times New Roman" w:cs="Times New Roman"/>
          <w:sz w:val="24"/>
          <w:szCs w:val="24"/>
        </w:rPr>
        <w:t>** Lecturer,</w:t>
      </w:r>
      <w:r w:rsidR="00E04E35">
        <w:rPr>
          <w:rFonts w:ascii="Times New Roman" w:hAnsi="Times New Roman" w:cs="Times New Roman"/>
          <w:sz w:val="24"/>
          <w:szCs w:val="24"/>
        </w:rPr>
        <w:t xml:space="preserve"> </w:t>
      </w:r>
      <w:r w:rsidRPr="0066394B">
        <w:rPr>
          <w:rFonts w:ascii="Times New Roman" w:hAnsi="Times New Roman" w:cs="Times New Roman"/>
          <w:sz w:val="24"/>
          <w:szCs w:val="24"/>
        </w:rPr>
        <w:t>Faculty of Medical Technology, Tobruk University, Tobruk, Libya.</w:t>
      </w:r>
    </w:p>
    <w:p w:rsidR="0066394B" w:rsidRPr="0014420F" w:rsidRDefault="0066394B" w:rsidP="0066394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F2A09" w:rsidRPr="0014420F" w:rsidRDefault="002F2A09" w:rsidP="00BD0BA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4420F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BD0BA9" w:rsidRPr="0014420F" w:rsidRDefault="00BD0BA9" w:rsidP="004741D6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Electroencephalography (EEG) remains the most important investigative modality in the diagnostic evaluation of individuals with</w:t>
      </w:r>
      <w:r w:rsidR="004741D6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 xml:space="preserve">encephalopathy. Children living with encephalopathies in the developing world are faced with challenges of lack of access to appropriate diagnostic evaluation and a high risk of misdiagnosis and inappropriate therapy. We appraised EEG studies in a cohort of libyan children with encepahlopathies seen in a tertiary center in order to evaluate access to and the impact of EEG in the diagnostic evaluation of the cases. </w:t>
      </w:r>
    </w:p>
    <w:p w:rsidR="00BD0BA9" w:rsidRPr="0014420F" w:rsidRDefault="00BD0BA9" w:rsidP="00BD0BA9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b/>
          <w:bCs/>
          <w:sz w:val="24"/>
          <w:szCs w:val="24"/>
        </w:rPr>
        <w:t xml:space="preserve">Methods: </w:t>
      </w:r>
      <w:r w:rsidRPr="0014420F">
        <w:rPr>
          <w:rFonts w:ascii="Times New Roman" w:hAnsi="Times New Roman" w:cs="Times New Roman"/>
          <w:sz w:val="24"/>
          <w:szCs w:val="24"/>
        </w:rPr>
        <w:t>EEG was requested in all cases of pediatric encephalopathies seen at the pediatric neurology clinic of the Tobruk Medical Centre, Tobruk, Libya over a period of 2 years. Clinical diagnosis without EEG evaluation was compared with the final diagnosis post- EEG evaluation.</w:t>
      </w:r>
    </w:p>
    <w:p w:rsidR="00BD0BA9" w:rsidRPr="0014420F" w:rsidRDefault="00BD0BA9" w:rsidP="00BD0BA9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b/>
          <w:bCs/>
          <w:sz w:val="24"/>
          <w:szCs w:val="24"/>
        </w:rPr>
        <w:t xml:space="preserve">Results: </w:t>
      </w:r>
      <w:r w:rsidRPr="0014420F">
        <w:rPr>
          <w:rFonts w:ascii="Times New Roman" w:hAnsi="Times New Roman" w:cs="Times New Roman"/>
          <w:sz w:val="24"/>
          <w:szCs w:val="24"/>
        </w:rPr>
        <w:t xml:space="preserve">A total of </w:t>
      </w:r>
      <w:r w:rsidR="00035886" w:rsidRPr="0014420F">
        <w:rPr>
          <w:rFonts w:ascii="Times New Roman" w:hAnsi="Times New Roman" w:cs="Times New Roman"/>
          <w:sz w:val="24"/>
          <w:szCs w:val="24"/>
        </w:rPr>
        <w:t>100</w:t>
      </w:r>
      <w:r w:rsidRPr="0014420F">
        <w:rPr>
          <w:rFonts w:ascii="Times New Roman" w:hAnsi="Times New Roman" w:cs="Times New Roman"/>
          <w:sz w:val="24"/>
          <w:szCs w:val="24"/>
        </w:rPr>
        <w:t xml:space="preserve"> EEGs were recorded in </w:t>
      </w:r>
      <w:r w:rsidR="00035886" w:rsidRPr="0014420F">
        <w:rPr>
          <w:rFonts w:ascii="Times New Roman" w:hAnsi="Times New Roman" w:cs="Times New Roman"/>
          <w:sz w:val="24"/>
          <w:szCs w:val="24"/>
        </w:rPr>
        <w:t>100</w:t>
      </w:r>
      <w:r w:rsidR="00C26464" w:rsidRPr="0014420F">
        <w:rPr>
          <w:rFonts w:ascii="Times New Roman" w:hAnsi="Times New Roman" w:cs="Times New Roman"/>
          <w:sz w:val="24"/>
          <w:szCs w:val="24"/>
        </w:rPr>
        <w:t xml:space="preserve"> children, aged 1 to 17</w:t>
      </w:r>
      <w:r w:rsidRPr="0014420F">
        <w:rPr>
          <w:rFonts w:ascii="Times New Roman" w:hAnsi="Times New Roman" w:cs="Times New Roman"/>
          <w:sz w:val="24"/>
          <w:szCs w:val="24"/>
        </w:rPr>
        <w:t xml:space="preserve"> years. Clinical ev</w:t>
      </w:r>
      <w:r w:rsidR="00035886" w:rsidRPr="0014420F">
        <w:rPr>
          <w:rFonts w:ascii="Times New Roman" w:hAnsi="Times New Roman" w:cs="Times New Roman"/>
          <w:sz w:val="24"/>
          <w:szCs w:val="24"/>
        </w:rPr>
        <w:t>aluation EEG classified 62</w:t>
      </w:r>
      <w:r w:rsidRPr="0014420F">
        <w:rPr>
          <w:rFonts w:ascii="Times New Roman" w:hAnsi="Times New Roman" w:cs="Times New Roman"/>
          <w:sz w:val="24"/>
          <w:szCs w:val="24"/>
        </w:rPr>
        <w:t>% of the e</w:t>
      </w:r>
      <w:r w:rsidR="00C26464" w:rsidRPr="0014420F">
        <w:rPr>
          <w:rFonts w:ascii="Times New Roman" w:hAnsi="Times New Roman" w:cs="Times New Roman"/>
          <w:sz w:val="24"/>
          <w:szCs w:val="24"/>
        </w:rPr>
        <w:t>ncephalopathy</w:t>
      </w:r>
      <w:r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="00035886" w:rsidRPr="0014420F">
        <w:rPr>
          <w:rFonts w:ascii="Times New Roman" w:hAnsi="Times New Roman" w:cs="Times New Roman"/>
          <w:sz w:val="24"/>
          <w:szCs w:val="24"/>
        </w:rPr>
        <w:t>as generalized. The</w:t>
      </w:r>
      <w:r w:rsidRPr="0014420F">
        <w:rPr>
          <w:rFonts w:ascii="Times New Roman" w:hAnsi="Times New Roman" w:cs="Times New Roman"/>
          <w:sz w:val="24"/>
          <w:szCs w:val="24"/>
        </w:rPr>
        <w:t xml:space="preserve"> EEG evaluations showed a considerably h</w:t>
      </w:r>
      <w:r w:rsidR="00035886" w:rsidRPr="0014420F">
        <w:rPr>
          <w:rFonts w:ascii="Times New Roman" w:hAnsi="Times New Roman" w:cs="Times New Roman"/>
          <w:sz w:val="24"/>
          <w:szCs w:val="24"/>
        </w:rPr>
        <w:t>igher proportion of seizures</w:t>
      </w:r>
      <w:r w:rsidRPr="0014420F">
        <w:rPr>
          <w:rFonts w:ascii="Times New Roman" w:hAnsi="Times New Roman" w:cs="Times New Roman"/>
          <w:sz w:val="24"/>
          <w:szCs w:val="24"/>
        </w:rPr>
        <w:t xml:space="preserve">-related </w:t>
      </w:r>
      <w:r w:rsidR="00C26464" w:rsidRPr="0014420F">
        <w:rPr>
          <w:rFonts w:ascii="Times New Roman" w:hAnsi="Times New Roman" w:cs="Times New Roman"/>
          <w:sz w:val="24"/>
          <w:szCs w:val="24"/>
        </w:rPr>
        <w:t>encephalopathy</w:t>
      </w:r>
      <w:r w:rsidR="00035886" w:rsidRPr="0014420F">
        <w:rPr>
          <w:rFonts w:ascii="Times New Roman" w:hAnsi="Times New Roman" w:cs="Times New Roman"/>
          <w:sz w:val="24"/>
          <w:szCs w:val="24"/>
        </w:rPr>
        <w:t xml:space="preserve"> (25%). The final evaluation </w:t>
      </w:r>
      <w:r w:rsidRPr="0014420F">
        <w:rPr>
          <w:rFonts w:ascii="Times New Roman" w:hAnsi="Times New Roman" w:cs="Times New Roman"/>
          <w:sz w:val="24"/>
          <w:szCs w:val="24"/>
        </w:rPr>
        <w:t xml:space="preserve"> EEG showed </w:t>
      </w:r>
      <w:r w:rsidR="00035886" w:rsidRPr="0014420F">
        <w:rPr>
          <w:rFonts w:ascii="Times New Roman" w:hAnsi="Times New Roman" w:cs="Times New Roman"/>
          <w:sz w:val="24"/>
          <w:szCs w:val="24"/>
        </w:rPr>
        <w:t>sixty two children (62%) had encephalopathy with seizure(25%), trembling(9%),involuntary twisting (6%), swallowing (7%) and muscles weakness(15%)</w:t>
      </w:r>
      <w:r w:rsidRPr="0014420F">
        <w:rPr>
          <w:rFonts w:ascii="Times New Roman" w:hAnsi="Times New Roman" w:cs="Times New Roman"/>
          <w:sz w:val="24"/>
          <w:szCs w:val="24"/>
        </w:rPr>
        <w:t xml:space="preserve"> in cases of localization-related </w:t>
      </w:r>
      <w:r w:rsidR="00C26464" w:rsidRPr="0014420F">
        <w:rPr>
          <w:rFonts w:ascii="Times New Roman" w:hAnsi="Times New Roman" w:cs="Times New Roman"/>
          <w:sz w:val="24"/>
          <w:szCs w:val="24"/>
        </w:rPr>
        <w:t>encephalopathy</w:t>
      </w:r>
      <w:r w:rsidR="00035886" w:rsidRPr="0014420F">
        <w:rPr>
          <w:rFonts w:ascii="Times New Roman" w:hAnsi="Times New Roman" w:cs="Times New Roman"/>
          <w:sz w:val="24"/>
          <w:szCs w:val="24"/>
        </w:rPr>
        <w:t>(p&lt;0.047</w:t>
      </w:r>
      <w:r w:rsidRPr="0014420F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2F2A09" w:rsidRPr="0014420F" w:rsidRDefault="00BD0BA9" w:rsidP="00C26464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Pr="0014420F">
        <w:rPr>
          <w:rFonts w:ascii="Times New Roman" w:hAnsi="Times New Roman" w:cs="Times New Roman"/>
          <w:sz w:val="24"/>
          <w:szCs w:val="24"/>
        </w:rPr>
        <w:t>Here we show that there is a high risk of misdiagnosis and therefore the use of inappropriate therapies in</w:t>
      </w:r>
      <w:r w:rsidR="00C26464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 xml:space="preserve">children with </w:t>
      </w:r>
      <w:r w:rsidR="00C26464" w:rsidRPr="0014420F">
        <w:rPr>
          <w:rFonts w:ascii="Times New Roman" w:hAnsi="Times New Roman" w:cs="Times New Roman"/>
          <w:sz w:val="24"/>
          <w:szCs w:val="24"/>
        </w:rPr>
        <w:t>encephalopathy</w:t>
      </w:r>
      <w:r w:rsidRPr="0014420F">
        <w:rPr>
          <w:rFonts w:ascii="Times New Roman" w:hAnsi="Times New Roman" w:cs="Times New Roman"/>
          <w:sz w:val="24"/>
          <w:szCs w:val="24"/>
        </w:rPr>
        <w:t xml:space="preserve"> in the absence of EEG evaluation. </w:t>
      </w:r>
    </w:p>
    <w:p w:rsidR="00CF0CD0" w:rsidRPr="0014420F" w:rsidRDefault="00CF0CD0" w:rsidP="00BD0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CD0" w:rsidRPr="00E04E35" w:rsidRDefault="00DA6180" w:rsidP="00BD0BA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04E35">
        <w:rPr>
          <w:rFonts w:ascii="Times New Roman" w:hAnsi="Times New Roman" w:cs="Times New Roman"/>
          <w:b/>
          <w:sz w:val="24"/>
          <w:szCs w:val="24"/>
          <w:u w:val="single"/>
        </w:rPr>
        <w:t>Corresponding Author :</w:t>
      </w:r>
    </w:p>
    <w:p w:rsidR="00DA6180" w:rsidRPr="0014420F" w:rsidRDefault="00DA6180" w:rsidP="00BD0BA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Saeed H. Ali, Department of Paediatrics, Faculty of Medicine, Tobruk University, Tobruk, Libya.</w:t>
      </w:r>
    </w:p>
    <w:p w:rsidR="00CF0CD0" w:rsidRPr="0014420F" w:rsidRDefault="00CF0CD0" w:rsidP="00BD0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CD0" w:rsidRPr="0014420F" w:rsidRDefault="00CF0CD0" w:rsidP="00BD0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CD0" w:rsidRPr="0014420F" w:rsidRDefault="00CF0CD0" w:rsidP="00BD0BA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26464" w:rsidRPr="0014420F" w:rsidRDefault="00C26464" w:rsidP="00BD0BA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6464" w:rsidRPr="0014420F" w:rsidRDefault="00C26464" w:rsidP="00BD0BA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26464" w:rsidRPr="0014420F" w:rsidRDefault="00C26464" w:rsidP="00BD0BA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14336" w:rsidRDefault="00514336" w:rsidP="00BD0BA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F0CD0" w:rsidRPr="0014420F" w:rsidRDefault="00CF0CD0" w:rsidP="00BD0BA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420F">
        <w:rPr>
          <w:rFonts w:ascii="Times New Roman" w:hAnsi="Times New Roman" w:cs="Times New Roman"/>
          <w:b/>
          <w:sz w:val="24"/>
          <w:szCs w:val="24"/>
          <w:u w:val="single"/>
        </w:rPr>
        <w:t>Introduction</w:t>
      </w:r>
    </w:p>
    <w:p w:rsidR="00472E2E" w:rsidRPr="0014420F" w:rsidRDefault="00CF0CD0" w:rsidP="00472E2E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The term encephalopathy typically refers to the reversible global change in brain function</w:t>
      </w:r>
      <w:r w:rsidRPr="0014420F">
        <w:rPr>
          <w:rFonts w:ascii="Times New Roman" w:hAnsi="Times New Roman" w:cs="Times New Roman"/>
          <w:sz w:val="24"/>
          <w:szCs w:val="24"/>
        </w:rPr>
        <w:br/>
        <w:t>manifesting with attentional impairment, sleep-wake cycle disturbances, deficits in memory</w:t>
      </w:r>
      <w:r w:rsidRPr="0014420F">
        <w:rPr>
          <w:rFonts w:ascii="Times New Roman" w:hAnsi="Times New Roman" w:cs="Times New Roman"/>
          <w:sz w:val="24"/>
          <w:szCs w:val="24"/>
        </w:rPr>
        <w:br/>
        <w:t>and mental data processing, and changes in arousal (hyper- or hypoactive). Encephalopathy</w:t>
      </w:r>
      <w:r w:rsidRPr="0014420F">
        <w:rPr>
          <w:rFonts w:ascii="Times New Roman" w:hAnsi="Times New Roman" w:cs="Times New Roman"/>
          <w:sz w:val="24"/>
          <w:szCs w:val="24"/>
        </w:rPr>
        <w:br/>
        <w:t>frequently occurs in the elderly and in hospitalized patients, is particularly common in the</w:t>
      </w:r>
      <w:r w:rsidRPr="0014420F">
        <w:rPr>
          <w:rFonts w:ascii="Times New Roman" w:hAnsi="Times New Roman" w:cs="Times New Roman"/>
          <w:sz w:val="24"/>
          <w:szCs w:val="24"/>
        </w:rPr>
        <w:br/>
        <w:t>intensive care unit (ICU), and is associated with poor outcome (Ely et al., 2004; Witlox et</w:t>
      </w:r>
      <w:r w:rsidRPr="0014420F">
        <w:rPr>
          <w:rFonts w:ascii="Times New Roman" w:hAnsi="Times New Roman" w:cs="Times New Roman"/>
          <w:sz w:val="24"/>
          <w:szCs w:val="24"/>
        </w:rPr>
        <w:br/>
        <w:t>al., 2010). The most common causes of encephalopathy are systemic illnesses in the setting</w:t>
      </w:r>
      <w:r w:rsidRPr="0014420F">
        <w:rPr>
          <w:rFonts w:ascii="Times New Roman" w:hAnsi="Times New Roman" w:cs="Times New Roman"/>
          <w:sz w:val="24"/>
          <w:szCs w:val="24"/>
        </w:rPr>
        <w:br/>
        <w:t>of infection, hypoxic-ischemic brain injury, and metabolic-toxic states due to single- or</w:t>
      </w:r>
      <w:r w:rsidRPr="0014420F">
        <w:rPr>
          <w:rFonts w:ascii="Times New Roman" w:hAnsi="Times New Roman" w:cs="Times New Roman"/>
          <w:sz w:val="24"/>
          <w:szCs w:val="24"/>
        </w:rPr>
        <w:br/>
        <w:t>multi-organ dysfunction. Electrolyte imbalance, vitamin deficiencies, and endocrine  disorders may be sole or contributory causes of encephalopathy, and elderly and hospitalized</w:t>
      </w:r>
      <w:r w:rsidRPr="0014420F">
        <w:rPr>
          <w:rFonts w:ascii="Times New Roman" w:hAnsi="Times New Roman" w:cs="Times New Roman"/>
          <w:sz w:val="24"/>
          <w:szCs w:val="24"/>
        </w:rPr>
        <w:br/>
        <w:t>patients frequently present with complex medical problems that involve several organ</w:t>
      </w:r>
      <w:r w:rsidRPr="0014420F">
        <w:rPr>
          <w:rFonts w:ascii="Times New Roman" w:hAnsi="Times New Roman" w:cs="Times New Roman"/>
          <w:sz w:val="24"/>
          <w:szCs w:val="24"/>
        </w:rPr>
        <w:br/>
        <w:t>systems. The clinician must then discern which of the many pathologic conditions is most</w:t>
      </w:r>
      <w:r w:rsidRPr="0014420F">
        <w:rPr>
          <w:rFonts w:ascii="Times New Roman" w:hAnsi="Times New Roman" w:cs="Times New Roman"/>
          <w:sz w:val="24"/>
          <w:szCs w:val="24"/>
        </w:rPr>
        <w:br/>
        <w:t>contributory to the patient’s confusional state (Kaplan, 2004).</w:t>
      </w:r>
      <w:r w:rsidRPr="0014420F">
        <w:rPr>
          <w:rFonts w:ascii="Times New Roman" w:hAnsi="Times New Roman" w:cs="Times New Roman"/>
          <w:sz w:val="24"/>
          <w:szCs w:val="24"/>
        </w:rPr>
        <w:br/>
        <w:t>The electroencephalogram (EEG) is readily available, relatively cheap, and the most widely</w:t>
      </w:r>
      <w:r w:rsidRPr="0014420F">
        <w:rPr>
          <w:rFonts w:ascii="Times New Roman" w:hAnsi="Times New Roman" w:cs="Times New Roman"/>
          <w:sz w:val="24"/>
          <w:szCs w:val="24"/>
        </w:rPr>
        <w:br/>
        <w:t>used technique to detect and monitor electrocerebral activity (Hooshmand and Maloney,</w:t>
      </w:r>
      <w:r w:rsidRPr="0014420F">
        <w:rPr>
          <w:rFonts w:ascii="Times New Roman" w:hAnsi="Times New Roman" w:cs="Times New Roman"/>
          <w:sz w:val="24"/>
          <w:szCs w:val="24"/>
        </w:rPr>
        <w:br/>
        <w:t>1980). In the evaluation of the encephalopathic patient, EEG may help in differentiating</w:t>
      </w:r>
      <w:r w:rsidRPr="0014420F">
        <w:rPr>
          <w:rFonts w:ascii="Times New Roman" w:hAnsi="Times New Roman" w:cs="Times New Roman"/>
          <w:sz w:val="24"/>
          <w:szCs w:val="24"/>
        </w:rPr>
        <w:br/>
        <w:t>organic from psychiatric conditions, and is the only tool that can diagnose nonconvulsive</w:t>
      </w:r>
      <w:r w:rsidRPr="0014420F">
        <w:rPr>
          <w:rFonts w:ascii="Times New Roman" w:hAnsi="Times New Roman" w:cs="Times New Roman"/>
          <w:sz w:val="24"/>
          <w:szCs w:val="24"/>
        </w:rPr>
        <w:br/>
        <w:t>status epilepticus (NCSE). Furthermore, EEG may help determine the severity of the</w:t>
      </w:r>
      <w:r w:rsidRPr="0014420F">
        <w:rPr>
          <w:rFonts w:ascii="Times New Roman" w:hAnsi="Times New Roman" w:cs="Times New Roman"/>
          <w:sz w:val="24"/>
          <w:szCs w:val="24"/>
        </w:rPr>
        <w:br/>
        <w:t>underlying brain dysfunction, and may assist in predicting clinical outcome (Kaplan, 2004).</w:t>
      </w:r>
      <w:r w:rsidRPr="0014420F">
        <w:rPr>
          <w:rFonts w:ascii="Times New Roman" w:hAnsi="Times New Roman" w:cs="Times New Roman"/>
          <w:sz w:val="24"/>
          <w:szCs w:val="24"/>
        </w:rPr>
        <w:br/>
        <w:t>While the EEG lacks specificity in differentiating among the various metabolic</w:t>
      </w:r>
      <w:r w:rsidRPr="0014420F">
        <w:rPr>
          <w:rFonts w:ascii="Times New Roman" w:hAnsi="Times New Roman" w:cs="Times New Roman"/>
          <w:sz w:val="24"/>
          <w:szCs w:val="24"/>
        </w:rPr>
        <w:br/>
        <w:t>encephalopathies, discernable EEG patterns along with clinical history and imaging findings</w:t>
      </w:r>
      <w:r w:rsidRPr="0014420F">
        <w:rPr>
          <w:rFonts w:ascii="Times New Roman" w:hAnsi="Times New Roman" w:cs="Times New Roman"/>
          <w:sz w:val="24"/>
          <w:szCs w:val="24"/>
        </w:rPr>
        <w:br/>
        <w:t xml:space="preserve">may provide helpful information to the clinician regarding underlying etiologies. </w:t>
      </w:r>
    </w:p>
    <w:p w:rsidR="00722189" w:rsidRPr="0014420F" w:rsidRDefault="00722189" w:rsidP="00472E2E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The continuum of central nervous system (CNS) symptoms associated</w:t>
      </w:r>
      <w:r w:rsidRPr="0014420F">
        <w:rPr>
          <w:rFonts w:ascii="Times New Roman" w:hAnsi="Times New Roman" w:cs="Times New Roman"/>
          <w:sz w:val="24"/>
          <w:szCs w:val="24"/>
        </w:rPr>
        <w:br/>
        <w:t>with various degrees of hyperthyroidism ranges from subtle impairment of cognitive</w:t>
      </w:r>
      <w:r w:rsidRPr="0014420F">
        <w:rPr>
          <w:rFonts w:ascii="Times New Roman" w:hAnsi="Times New Roman" w:cs="Times New Roman"/>
          <w:sz w:val="24"/>
          <w:szCs w:val="24"/>
        </w:rPr>
        <w:br/>
        <w:t>function, insomnia, emotional liability and anxiety, to severe and potentially life threatening</w:t>
      </w:r>
      <w:r w:rsidRPr="0014420F">
        <w:rPr>
          <w:rFonts w:ascii="Times New Roman" w:hAnsi="Times New Roman" w:cs="Times New Roman"/>
          <w:sz w:val="24"/>
          <w:szCs w:val="24"/>
        </w:rPr>
        <w:br/>
        <w:t>manifestations, such as severe encephalopathy, seizures and coma (McDermott, 2012). The</w:t>
      </w:r>
      <w:r w:rsidRPr="0014420F">
        <w:rPr>
          <w:rFonts w:ascii="Times New Roman" w:hAnsi="Times New Roman" w:cs="Times New Roman"/>
          <w:sz w:val="24"/>
          <w:szCs w:val="24"/>
        </w:rPr>
        <w:br/>
        <w:t>latter is most frequently encountered during thyroid storm which has a mortality rate of up to</w:t>
      </w:r>
      <w:r w:rsidRPr="0014420F">
        <w:rPr>
          <w:rFonts w:ascii="Times New Roman" w:hAnsi="Times New Roman" w:cs="Times New Roman"/>
          <w:sz w:val="24"/>
          <w:szCs w:val="24"/>
        </w:rPr>
        <w:br/>
        <w:t>20% (McDermott, 2012). There is no clear correlation between the degree of EEG</w:t>
      </w:r>
      <w:r w:rsidRPr="0014420F">
        <w:rPr>
          <w:rFonts w:ascii="Times New Roman" w:hAnsi="Times New Roman" w:cs="Times New Roman"/>
          <w:sz w:val="24"/>
          <w:szCs w:val="24"/>
        </w:rPr>
        <w:br/>
        <w:t>abnormality and serum thyroid hormone level (Leubuscher et al., 1988). An increase in</w:t>
      </w:r>
      <w:r w:rsidRPr="0014420F">
        <w:rPr>
          <w:rFonts w:ascii="Times New Roman" w:hAnsi="Times New Roman" w:cs="Times New Roman"/>
          <w:sz w:val="24"/>
          <w:szCs w:val="24"/>
        </w:rPr>
        <w:br/>
        <w:t>frequency of the posterior dominant rhythm, an increase in fast activity, as well as a higher</w:t>
      </w:r>
      <w:r w:rsidRPr="0014420F">
        <w:rPr>
          <w:rFonts w:ascii="Times New Roman" w:hAnsi="Times New Roman" w:cs="Times New Roman"/>
          <w:sz w:val="24"/>
          <w:szCs w:val="24"/>
        </w:rPr>
        <w:br/>
        <w:t>incidence of theta and delta activity have been observed in thyrotoxicosis, and in</w:t>
      </w:r>
      <w:r w:rsidRPr="0014420F">
        <w:rPr>
          <w:rFonts w:ascii="Times New Roman" w:hAnsi="Times New Roman" w:cs="Times New Roman"/>
          <w:sz w:val="24"/>
          <w:szCs w:val="24"/>
        </w:rPr>
        <w:br/>
        <w:t>experimental hypermetabolism (Rubin et al., 1937; Vague et al., 1952; Condon et al., 1954;</w:t>
      </w:r>
      <w:r w:rsidRPr="0014420F">
        <w:rPr>
          <w:rFonts w:ascii="Times New Roman" w:hAnsi="Times New Roman" w:cs="Times New Roman"/>
          <w:sz w:val="24"/>
          <w:szCs w:val="24"/>
        </w:rPr>
        <w:br/>
        <w:t>Vague et al., 1957). High-voltage and prolonged EEG responses to photic stimulation have</w:t>
      </w:r>
      <w:r w:rsidRPr="0014420F">
        <w:rPr>
          <w:rFonts w:ascii="Times New Roman" w:hAnsi="Times New Roman" w:cs="Times New Roman"/>
          <w:sz w:val="24"/>
          <w:szCs w:val="24"/>
        </w:rPr>
        <w:br/>
        <w:t>also been described (Wilson et al., 1964). Wilson et al. noted that these changes were most</w:t>
      </w:r>
      <w:r w:rsidRPr="0014420F">
        <w:rPr>
          <w:rFonts w:ascii="Times New Roman" w:hAnsi="Times New Roman" w:cs="Times New Roman"/>
          <w:sz w:val="24"/>
          <w:szCs w:val="24"/>
        </w:rPr>
        <w:br/>
        <w:t>profound in young women (Wilson et al., 1964). Rarely, triphasic waves (TWs) have been</w:t>
      </w:r>
      <w:r w:rsidRPr="0014420F">
        <w:rPr>
          <w:rFonts w:ascii="Times New Roman" w:hAnsi="Times New Roman" w:cs="Times New Roman"/>
          <w:sz w:val="24"/>
          <w:szCs w:val="24"/>
        </w:rPr>
        <w:br/>
        <w:t>reported in patients with acute hyperthyroidism (Scherokman, 1980; Hirano et al., 1982). A</w:t>
      </w:r>
      <w:r w:rsidRPr="0014420F">
        <w:rPr>
          <w:rFonts w:ascii="Times New Roman" w:hAnsi="Times New Roman" w:cs="Times New Roman"/>
          <w:sz w:val="24"/>
          <w:szCs w:val="24"/>
        </w:rPr>
        <w:br/>
        <w:t>case of thyrotoxic storm presenting as posterior reversible encephalopathy syndrome</w:t>
      </w:r>
      <w:r w:rsidRPr="0014420F">
        <w:rPr>
          <w:rFonts w:ascii="Times New Roman" w:hAnsi="Times New Roman" w:cs="Times New Roman"/>
          <w:sz w:val="24"/>
          <w:szCs w:val="24"/>
        </w:rPr>
        <w:br/>
        <w:t>(PRES) in a patient with generalized convulsions and coma, has been described, however,</w:t>
      </w:r>
      <w:r w:rsidRPr="0014420F">
        <w:rPr>
          <w:rFonts w:ascii="Times New Roman" w:hAnsi="Times New Roman" w:cs="Times New Roman"/>
          <w:sz w:val="24"/>
          <w:szCs w:val="24"/>
        </w:rPr>
        <w:br/>
        <w:t>PRES associated with hyperthyroidism is exceedingly rare (Homma et al., 1999).</w:t>
      </w:r>
      <w:r w:rsidRPr="0014420F">
        <w:rPr>
          <w:rFonts w:ascii="Times New Roman" w:hAnsi="Times New Roman" w:cs="Times New Roman"/>
          <w:sz w:val="24"/>
          <w:szCs w:val="24"/>
        </w:rPr>
        <w:br/>
      </w:r>
      <w:r w:rsidRPr="0014420F">
        <w:rPr>
          <w:rFonts w:ascii="Times New Roman" w:hAnsi="Times New Roman" w:cs="Times New Roman"/>
          <w:sz w:val="24"/>
          <w:szCs w:val="24"/>
        </w:rPr>
        <w:lastRenderedPageBreak/>
        <w:t>Hyperthyroidism lowers seizure threshold in patients with preexisting epilepsy (Wilson et</w:t>
      </w:r>
      <w:r w:rsidRPr="0014420F">
        <w:rPr>
          <w:rFonts w:ascii="Times New Roman" w:hAnsi="Times New Roman" w:cs="Times New Roman"/>
          <w:sz w:val="24"/>
          <w:szCs w:val="24"/>
        </w:rPr>
        <w:br/>
        <w:t>al., 1964; Izumi and Fukuyama, 1984). Furthermore, de novo convulsive seizures in the</w:t>
      </w:r>
      <w:r w:rsidRPr="0014420F">
        <w:rPr>
          <w:rFonts w:ascii="Times New Roman" w:hAnsi="Times New Roman" w:cs="Times New Roman"/>
          <w:sz w:val="24"/>
          <w:szCs w:val="24"/>
        </w:rPr>
        <w:br/>
        <w:t>setting of thyrotoxicosis are well recognized (Korczyn and Bechar, 1976; Jabbari and Huott,</w:t>
      </w:r>
      <w:r w:rsidRPr="0014420F">
        <w:rPr>
          <w:rFonts w:ascii="Times New Roman" w:hAnsi="Times New Roman" w:cs="Times New Roman"/>
          <w:sz w:val="24"/>
          <w:szCs w:val="24"/>
        </w:rPr>
        <w:br/>
        <w:t>1980; Safe et al., 1990; Su et al., 1993; Obeid et al., 1996; Maeda and Izumi, 2006).</w:t>
      </w:r>
      <w:r w:rsidRPr="0014420F">
        <w:rPr>
          <w:rFonts w:ascii="Times New Roman" w:hAnsi="Times New Roman" w:cs="Times New Roman"/>
          <w:sz w:val="24"/>
          <w:szCs w:val="24"/>
        </w:rPr>
        <w:br/>
        <w:t>Thyrotoxicosis presenting as new-onset seizures is often refractory to antiepileptic drugs</w:t>
      </w:r>
      <w:r w:rsidRPr="0014420F">
        <w:rPr>
          <w:rFonts w:ascii="Times New Roman" w:hAnsi="Times New Roman" w:cs="Times New Roman"/>
          <w:sz w:val="24"/>
          <w:szCs w:val="24"/>
        </w:rPr>
        <w:br/>
        <w:t>(AEDs), and may only be controlled after reaching an euthyroid state (Jabbari and Huott,</w:t>
      </w:r>
      <w:r w:rsidRPr="0014420F">
        <w:rPr>
          <w:rFonts w:ascii="Times New Roman" w:hAnsi="Times New Roman" w:cs="Times New Roman"/>
          <w:sz w:val="24"/>
          <w:szCs w:val="24"/>
        </w:rPr>
        <w:br/>
        <w:t>1980; Safe et al., 1990; Su et al., 1993). In a case report of a patient with iatrogenic</w:t>
      </w:r>
      <w:r w:rsidRPr="0014420F">
        <w:rPr>
          <w:rFonts w:ascii="Times New Roman" w:hAnsi="Times New Roman" w:cs="Times New Roman"/>
          <w:sz w:val="24"/>
          <w:szCs w:val="24"/>
        </w:rPr>
        <w:br/>
        <w:t>hyperalimentation with levothyroxine, the EEG revealed NCSE with almost continuous</w:t>
      </w:r>
      <w:r w:rsidRPr="0014420F">
        <w:rPr>
          <w:rFonts w:ascii="Times New Roman" w:hAnsi="Times New Roman" w:cs="Times New Roman"/>
          <w:sz w:val="24"/>
          <w:szCs w:val="24"/>
        </w:rPr>
        <w:br/>
        <w:t>bisynchronous spike-and-wave discharges with an occipital predominance (Sundaram et al.,</w:t>
      </w:r>
      <w:r w:rsidRPr="0014420F">
        <w:rPr>
          <w:rFonts w:ascii="Times New Roman" w:hAnsi="Times New Roman" w:cs="Times New Roman"/>
          <w:sz w:val="24"/>
          <w:szCs w:val="24"/>
        </w:rPr>
        <w:br/>
        <w:t>1985).</w:t>
      </w:r>
    </w:p>
    <w:p w:rsidR="00CF0CD0" w:rsidRPr="0014420F" w:rsidRDefault="00472E2E" w:rsidP="00BD0BA9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The present study was undertaken to evaluate the pattern of EEG abnormalities in Libyan children with encephalopathy and clinical diagnosis with EEG findings for final diagnosis.</w:t>
      </w:r>
    </w:p>
    <w:p w:rsidR="00472E2E" w:rsidRPr="0014420F" w:rsidRDefault="00472E2E" w:rsidP="00BD0BA9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420F">
        <w:rPr>
          <w:rFonts w:ascii="Times New Roman" w:hAnsi="Times New Roman" w:cs="Times New Roman"/>
          <w:b/>
          <w:sz w:val="24"/>
          <w:szCs w:val="24"/>
          <w:u w:val="single"/>
        </w:rPr>
        <w:t>Method</w:t>
      </w:r>
    </w:p>
    <w:p w:rsidR="0039757B" w:rsidRPr="0014420F" w:rsidRDefault="0039757B" w:rsidP="00BD0BA9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 xml:space="preserve">A total 100 children of different age group were examined in Tobruk Medical Center and sent for EEG testing(Tyba Center for Medical Imaging) to screen the encephalopathy disorder. </w:t>
      </w:r>
    </w:p>
    <w:p w:rsidR="00006BF8" w:rsidRPr="0014420F" w:rsidRDefault="00006BF8" w:rsidP="00BD0BA9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b/>
          <w:bCs/>
          <w:sz w:val="24"/>
          <w:szCs w:val="24"/>
          <w:u w:val="single"/>
        </w:rPr>
        <w:t>Electroencephalography</w:t>
      </w:r>
      <w:r w:rsidRPr="0014420F">
        <w:rPr>
          <w:rFonts w:ascii="Times New Roman" w:hAnsi="Times New Roman" w:cs="Times New Roman"/>
          <w:sz w:val="24"/>
          <w:szCs w:val="24"/>
        </w:rPr>
        <w:br/>
        <w:t>EEG recording was conducted using 40 Ag/AgCL surface electrodes that were embedded in</w:t>
      </w:r>
      <w:r w:rsidRPr="0014420F">
        <w:rPr>
          <w:rFonts w:ascii="Times New Roman" w:hAnsi="Times New Roman" w:cs="Times New Roman"/>
          <w:sz w:val="24"/>
          <w:szCs w:val="24"/>
        </w:rPr>
        <w:br/>
        <w:t>an electrode cap utilizing an extended international 10/20–location system (ElectroCap,</w:t>
      </w:r>
      <w:r w:rsidRPr="0014420F">
        <w:rPr>
          <w:rFonts w:ascii="Times New Roman" w:hAnsi="Times New Roman" w:cs="Times New Roman"/>
          <w:sz w:val="24"/>
          <w:szCs w:val="24"/>
        </w:rPr>
        <w:br/>
        <w:t>Eaton, OH) and referenced to linked ears. Impedance was set below 10 kOhms and EEG</w:t>
      </w:r>
      <w:r w:rsidRPr="0014420F">
        <w:rPr>
          <w:rFonts w:ascii="Times New Roman" w:hAnsi="Times New Roman" w:cs="Times New Roman"/>
          <w:sz w:val="24"/>
          <w:szCs w:val="24"/>
        </w:rPr>
        <w:br/>
        <w:t>signal was recorded with MANSCAN (Sam Technology, San Francisco, CA) hardware and</w:t>
      </w:r>
      <w:r w:rsidRPr="0014420F">
        <w:rPr>
          <w:rFonts w:ascii="Times New Roman" w:hAnsi="Times New Roman" w:cs="Times New Roman"/>
          <w:sz w:val="24"/>
          <w:szCs w:val="24"/>
        </w:rPr>
        <w:br/>
        <w:t>software. EEG data were assessed at a rate of 256 samples per second. Eye movements were</w:t>
      </w:r>
      <w:r w:rsidRPr="0014420F">
        <w:rPr>
          <w:rFonts w:ascii="Times New Roman" w:hAnsi="Times New Roman" w:cs="Times New Roman"/>
          <w:sz w:val="24"/>
          <w:szCs w:val="24"/>
        </w:rPr>
        <w:br/>
        <w:t>tracked with electrodes placed on the outer canthus of each eye for horizontal movements</w:t>
      </w:r>
      <w:r w:rsidRPr="0014420F">
        <w:rPr>
          <w:rFonts w:ascii="Times New Roman" w:hAnsi="Times New Roman" w:cs="Times New Roman"/>
          <w:sz w:val="24"/>
          <w:szCs w:val="24"/>
        </w:rPr>
        <w:br/>
        <w:t>and above the eye for vertical movements. Continuous EEG data were recorded while</w:t>
      </w:r>
      <w:r w:rsidRPr="0014420F">
        <w:rPr>
          <w:rFonts w:ascii="Times New Roman" w:hAnsi="Times New Roman" w:cs="Times New Roman"/>
          <w:sz w:val="24"/>
          <w:szCs w:val="24"/>
        </w:rPr>
        <w:br/>
        <w:t>subjects performed the 14-minute Go/No-go task.</w:t>
      </w:r>
    </w:p>
    <w:p w:rsidR="00135155" w:rsidRPr="0014420F" w:rsidRDefault="00006BF8" w:rsidP="00BD0BA9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An experienced technician reviewed continuous EEG data offline, and all segments</w:t>
      </w:r>
      <w:r w:rsidRPr="0014420F">
        <w:rPr>
          <w:rFonts w:ascii="Times New Roman" w:hAnsi="Times New Roman" w:cs="Times New Roman"/>
          <w:sz w:val="24"/>
          <w:szCs w:val="24"/>
        </w:rPr>
        <w:br/>
        <w:t>containing eye, head movement, or muscle artifact were removed prior to further analysis.</w:t>
      </w:r>
      <w:r w:rsidRPr="0014420F">
        <w:rPr>
          <w:rFonts w:ascii="Times New Roman" w:hAnsi="Times New Roman" w:cs="Times New Roman"/>
          <w:sz w:val="24"/>
          <w:szCs w:val="24"/>
        </w:rPr>
        <w:br/>
        <w:t>EEG spectral power (µV2) data were obtained using a Fast Fourier Transform, exported, and</w:t>
      </w:r>
      <w:r w:rsidRPr="0014420F">
        <w:rPr>
          <w:rFonts w:ascii="Times New Roman" w:hAnsi="Times New Roman" w:cs="Times New Roman"/>
          <w:sz w:val="24"/>
          <w:szCs w:val="24"/>
        </w:rPr>
        <w:br/>
        <w:t>averaged into the following bandwidths: Delta (1–3 Hz), Theta (4–7 Hz), Alpha (8–12 Hz),</w:t>
      </w:r>
      <w:r w:rsidRPr="0014420F">
        <w:rPr>
          <w:rFonts w:ascii="Times New Roman" w:hAnsi="Times New Roman" w:cs="Times New Roman"/>
          <w:sz w:val="24"/>
          <w:szCs w:val="24"/>
        </w:rPr>
        <w:br/>
        <w:t>and Beta (13–21 Hz). Electrodes within the same region were averaged together to reduce</w:t>
      </w:r>
      <w:r w:rsidRPr="0014420F">
        <w:rPr>
          <w:rFonts w:ascii="Times New Roman" w:hAnsi="Times New Roman" w:cs="Times New Roman"/>
          <w:sz w:val="24"/>
          <w:szCs w:val="24"/>
        </w:rPr>
        <w:br/>
        <w:t>the number of comparisons; these formed regional estimates for frontal (F3, F4, Fz), central</w:t>
      </w:r>
      <w:r w:rsidRPr="0014420F">
        <w:rPr>
          <w:rFonts w:ascii="Times New Roman" w:hAnsi="Times New Roman" w:cs="Times New Roman"/>
          <w:sz w:val="24"/>
          <w:szCs w:val="24"/>
        </w:rPr>
        <w:br/>
        <w:t>(C3, C4, Cz), and parietal (P3, P4, Pz) areas. The primary dependent variables were spectral</w:t>
      </w:r>
      <w:r w:rsidRPr="0014420F">
        <w:rPr>
          <w:rFonts w:ascii="Times New Roman" w:hAnsi="Times New Roman" w:cs="Times New Roman"/>
          <w:sz w:val="24"/>
          <w:szCs w:val="24"/>
        </w:rPr>
        <w:br/>
        <w:t>power estimates in each of the frequency bandwidths (i.e. delta, theta, alpha, and beta) in</w:t>
      </w:r>
      <w:r w:rsidRPr="0014420F">
        <w:rPr>
          <w:rFonts w:ascii="Times New Roman" w:hAnsi="Times New Roman" w:cs="Times New Roman"/>
          <w:sz w:val="24"/>
          <w:szCs w:val="24"/>
        </w:rPr>
        <w:br/>
        <w:t xml:space="preserve">frontal, central, and parietal regions. </w:t>
      </w:r>
    </w:p>
    <w:p w:rsidR="00F44D61" w:rsidRDefault="00006BF8" w:rsidP="00A65948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b/>
          <w:bCs/>
          <w:sz w:val="24"/>
          <w:szCs w:val="24"/>
          <w:u w:val="single"/>
        </w:rPr>
        <w:t>StatisticalAnalysis</w:t>
      </w:r>
      <w:r w:rsidRPr="0014420F">
        <w:rPr>
          <w:rFonts w:ascii="Times New Roman" w:hAnsi="Times New Roman" w:cs="Times New Roman"/>
          <w:sz w:val="24"/>
          <w:szCs w:val="24"/>
        </w:rPr>
        <w:br/>
        <w:t>Stati</w:t>
      </w:r>
      <w:r w:rsidR="0045434C" w:rsidRPr="0014420F">
        <w:rPr>
          <w:rFonts w:ascii="Times New Roman" w:hAnsi="Times New Roman" w:cs="Times New Roman"/>
          <w:sz w:val="24"/>
          <w:szCs w:val="24"/>
        </w:rPr>
        <w:t>stical tests were run in SPSS 18</w:t>
      </w:r>
      <w:r w:rsidRPr="0014420F">
        <w:rPr>
          <w:rFonts w:ascii="Times New Roman" w:hAnsi="Times New Roman" w:cs="Times New Roman"/>
          <w:sz w:val="24"/>
          <w:szCs w:val="24"/>
        </w:rPr>
        <w:t>.0. Age was used as a covariate in all analyses. Separate</w:t>
      </w:r>
      <w:r w:rsidRPr="0014420F">
        <w:rPr>
          <w:rFonts w:ascii="Times New Roman" w:hAnsi="Times New Roman" w:cs="Times New Roman"/>
          <w:sz w:val="24"/>
          <w:szCs w:val="24"/>
        </w:rPr>
        <w:br/>
        <w:t>univariate analyses of variance (ANOVAs) were conducted using group as the independent</w:t>
      </w:r>
      <w:r w:rsidRPr="0014420F">
        <w:rPr>
          <w:rFonts w:ascii="Times New Roman" w:hAnsi="Times New Roman" w:cs="Times New Roman"/>
          <w:sz w:val="24"/>
          <w:szCs w:val="24"/>
        </w:rPr>
        <w:br/>
        <w:t>variable and EEG spectral power in each frequency band within each region as dependent</w:t>
      </w:r>
      <w:r w:rsidRPr="0014420F">
        <w:rPr>
          <w:rFonts w:ascii="Times New Roman" w:hAnsi="Times New Roman" w:cs="Times New Roman"/>
          <w:sz w:val="24"/>
          <w:szCs w:val="24"/>
        </w:rPr>
        <w:br/>
        <w:t xml:space="preserve">variables. </w:t>
      </w:r>
    </w:p>
    <w:p w:rsidR="008E1296" w:rsidRDefault="008E1296" w:rsidP="00A659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65948" w:rsidRPr="0014420F" w:rsidRDefault="00C26464" w:rsidP="00A65948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b/>
          <w:sz w:val="24"/>
          <w:szCs w:val="24"/>
          <w:u w:val="single"/>
        </w:rPr>
        <w:t>Result</w:t>
      </w:r>
    </w:p>
    <w:p w:rsidR="001C03B5" w:rsidRPr="0014420F" w:rsidRDefault="00A65948" w:rsidP="009970FB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There were a total of</w:t>
      </w:r>
      <w:r w:rsidR="00035886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="00D77B95" w:rsidRPr="0014420F">
        <w:rPr>
          <w:rFonts w:ascii="Times New Roman" w:hAnsi="Times New Roman" w:cs="Times New Roman"/>
          <w:sz w:val="24"/>
          <w:szCs w:val="24"/>
        </w:rPr>
        <w:t xml:space="preserve">100 </w:t>
      </w:r>
      <w:r w:rsidRPr="0014420F">
        <w:rPr>
          <w:rFonts w:ascii="Times New Roman" w:hAnsi="Times New Roman" w:cs="Times New Roman"/>
          <w:sz w:val="24"/>
          <w:szCs w:val="24"/>
        </w:rPr>
        <w:t xml:space="preserve"> EEG recordings from </w:t>
      </w:r>
      <w:r w:rsidR="00D77B95" w:rsidRPr="0014420F">
        <w:rPr>
          <w:rFonts w:ascii="Times New Roman" w:hAnsi="Times New Roman" w:cs="Times New Roman"/>
          <w:sz w:val="24"/>
          <w:szCs w:val="24"/>
        </w:rPr>
        <w:t>100 children; 55 males and 45</w:t>
      </w:r>
      <w:r w:rsidRPr="0014420F">
        <w:rPr>
          <w:rFonts w:ascii="Times New Roman" w:hAnsi="Times New Roman" w:cs="Times New Roman"/>
          <w:sz w:val="24"/>
          <w:szCs w:val="24"/>
        </w:rPr>
        <w:t xml:space="preserve"> females during the study period. Their ages ranged </w:t>
      </w:r>
      <w:r w:rsidR="00636D2A" w:rsidRPr="0014420F">
        <w:rPr>
          <w:rFonts w:ascii="Times New Roman" w:hAnsi="Times New Roman" w:cs="Times New Roman"/>
          <w:sz w:val="24"/>
          <w:szCs w:val="24"/>
        </w:rPr>
        <w:t>from 1  to 17 years with a median of 24</w:t>
      </w:r>
      <w:r w:rsidRPr="0014420F">
        <w:rPr>
          <w:rFonts w:ascii="Times New Roman" w:hAnsi="Times New Roman" w:cs="Times New Roman"/>
          <w:sz w:val="24"/>
          <w:szCs w:val="24"/>
        </w:rPr>
        <w:t xml:space="preserve">.0 months. </w:t>
      </w:r>
      <w:r w:rsidR="00D77B95" w:rsidRPr="0014420F">
        <w:rPr>
          <w:rFonts w:ascii="Times New Roman" w:hAnsi="Times New Roman" w:cs="Times New Roman"/>
          <w:sz w:val="24"/>
          <w:szCs w:val="24"/>
        </w:rPr>
        <w:t>One</w:t>
      </w:r>
      <w:r w:rsidRPr="0014420F">
        <w:rPr>
          <w:rFonts w:ascii="Times New Roman" w:hAnsi="Times New Roman" w:cs="Times New Roman"/>
          <w:sz w:val="24"/>
          <w:szCs w:val="24"/>
        </w:rPr>
        <w:t xml:space="preserve"> hundred children had their EEGs recorded in the awake and sleep states respectively. </w:t>
      </w:r>
      <w:r w:rsidRPr="0014420F">
        <w:rPr>
          <w:rFonts w:ascii="Times New Roman" w:hAnsi="Times New Roman" w:cs="Times New Roman"/>
          <w:b/>
          <w:bCs/>
          <w:sz w:val="24"/>
          <w:szCs w:val="24"/>
        </w:rPr>
        <w:t xml:space="preserve">Table 1 </w:t>
      </w:r>
      <w:r w:rsidRPr="0014420F">
        <w:rPr>
          <w:rFonts w:ascii="Times New Roman" w:hAnsi="Times New Roman" w:cs="Times New Roman"/>
          <w:sz w:val="24"/>
          <w:szCs w:val="24"/>
        </w:rPr>
        <w:t xml:space="preserve">shows the </w:t>
      </w:r>
      <w:r w:rsidR="00636D2A" w:rsidRPr="0014420F">
        <w:rPr>
          <w:rFonts w:ascii="Times New Roman" w:hAnsi="Times New Roman" w:cs="Times New Roman"/>
          <w:sz w:val="24"/>
          <w:szCs w:val="24"/>
        </w:rPr>
        <w:t>diagnosis of encephalopaties</w:t>
      </w:r>
      <w:r w:rsidRPr="0014420F">
        <w:rPr>
          <w:rFonts w:ascii="Times New Roman" w:hAnsi="Times New Roman" w:cs="Times New Roman"/>
          <w:sz w:val="24"/>
          <w:szCs w:val="24"/>
        </w:rPr>
        <w:t xml:space="preserve"> in the </w:t>
      </w:r>
      <w:r w:rsidR="00D77B95" w:rsidRPr="0014420F">
        <w:rPr>
          <w:rFonts w:ascii="Times New Roman" w:hAnsi="Times New Roman" w:cs="Times New Roman"/>
          <w:sz w:val="24"/>
          <w:szCs w:val="24"/>
        </w:rPr>
        <w:t xml:space="preserve">100 children where 38% was normal and </w:t>
      </w:r>
      <w:r w:rsidR="001C03B5" w:rsidRPr="0014420F">
        <w:rPr>
          <w:rFonts w:ascii="Times New Roman" w:hAnsi="Times New Roman" w:cs="Times New Roman"/>
          <w:sz w:val="24"/>
          <w:szCs w:val="24"/>
        </w:rPr>
        <w:t>62% encephalopathies.</w:t>
      </w:r>
      <w:r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b/>
          <w:bCs/>
          <w:sz w:val="24"/>
          <w:szCs w:val="24"/>
        </w:rPr>
        <w:t xml:space="preserve">Table 2 </w:t>
      </w:r>
      <w:r w:rsidRPr="0014420F">
        <w:rPr>
          <w:rFonts w:ascii="Times New Roman" w:hAnsi="Times New Roman" w:cs="Times New Roman"/>
          <w:sz w:val="24"/>
          <w:szCs w:val="24"/>
        </w:rPr>
        <w:t xml:space="preserve">shows the pattern of abnormalities. </w:t>
      </w:r>
      <w:r w:rsidR="001C03B5" w:rsidRPr="0014420F">
        <w:rPr>
          <w:rFonts w:ascii="Times New Roman" w:hAnsi="Times New Roman" w:cs="Times New Roman"/>
          <w:sz w:val="24"/>
          <w:szCs w:val="24"/>
        </w:rPr>
        <w:t>Sixty two children (62%) had encephalopathy with seizure(25%), trembling(9%),involuntary twisting (6%), swallowing (7%) and muscles weakness(15%).</w:t>
      </w:r>
      <w:r w:rsidR="001C03B5" w:rsidRPr="0014420F">
        <w:rPr>
          <w:rFonts w:ascii="Times New Roman" w:hAnsi="Times New Roman" w:cs="Times New Roman"/>
          <w:b/>
          <w:sz w:val="24"/>
          <w:szCs w:val="24"/>
        </w:rPr>
        <w:t>Table 3</w:t>
      </w:r>
      <w:r w:rsidR="001C03B5" w:rsidRPr="0014420F">
        <w:rPr>
          <w:rFonts w:ascii="Times New Roman" w:hAnsi="Times New Roman" w:cs="Times New Roman"/>
          <w:sz w:val="24"/>
          <w:szCs w:val="24"/>
        </w:rPr>
        <w:t xml:space="preserve"> shows the distribution of </w:t>
      </w:r>
      <w:r w:rsidR="00C50B16" w:rsidRPr="0014420F">
        <w:rPr>
          <w:rFonts w:ascii="Times New Roman" w:hAnsi="Times New Roman" w:cs="Times New Roman"/>
          <w:sz w:val="24"/>
          <w:szCs w:val="24"/>
        </w:rPr>
        <w:t>62 encephalopathies patients with 31% (male) and 31% female.</w:t>
      </w:r>
      <w:r w:rsidR="00C50B16" w:rsidRPr="0014420F">
        <w:rPr>
          <w:rFonts w:ascii="Times New Roman" w:hAnsi="Times New Roman" w:cs="Times New Roman"/>
          <w:b/>
          <w:sz w:val="24"/>
          <w:szCs w:val="24"/>
        </w:rPr>
        <w:t>Table 4</w:t>
      </w:r>
      <w:r w:rsidR="00C50B16" w:rsidRPr="0014420F">
        <w:rPr>
          <w:rFonts w:ascii="Times New Roman" w:hAnsi="Times New Roman" w:cs="Times New Roman"/>
          <w:sz w:val="24"/>
          <w:szCs w:val="24"/>
        </w:rPr>
        <w:t xml:space="preserve"> shows the distribution of encephalopaties patients in 2017 and 2018. Twenty four children (24%) out of 41 and thirty eight children out of 59 had disorder of encephalopaties in 2017 and 2018 respectively.</w:t>
      </w:r>
    </w:p>
    <w:p w:rsidR="001C03B5" w:rsidRPr="0014420F" w:rsidRDefault="00346104" w:rsidP="009970FB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Final diagnosis EEG evaluation showed a relatively higher proportion of seizures-related encephalopathy and a lower proportion of involuntary twisting encephalopathy.</w:t>
      </w:r>
    </w:p>
    <w:p w:rsidR="000815B0" w:rsidRPr="0014420F" w:rsidRDefault="00346104" w:rsidP="009970FB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One way ANOVA test comparing diagnosis on clinical evaluation with final diagnosis EEG showed a statistically significant difference (p&lt;0.047, 95% CI 31.914,</w:t>
      </w:r>
      <w:r w:rsidR="000815B0" w:rsidRPr="0014420F">
        <w:rPr>
          <w:rFonts w:ascii="Times New Roman" w:hAnsi="Times New Roman" w:cs="Times New Roman"/>
          <w:sz w:val="24"/>
          <w:szCs w:val="24"/>
        </w:rPr>
        <w:t xml:space="preserve"> 68.542, SD  25.441</w:t>
      </w:r>
      <w:r w:rsidRPr="0014420F">
        <w:rPr>
          <w:rFonts w:ascii="Times New Roman" w:hAnsi="Times New Roman" w:cs="Times New Roman"/>
          <w:sz w:val="24"/>
          <w:szCs w:val="24"/>
        </w:rPr>
        <w:t xml:space="preserve"> ). </w:t>
      </w:r>
    </w:p>
    <w:p w:rsidR="00817AD0" w:rsidRPr="0014420F" w:rsidRDefault="00817AD0" w:rsidP="00B07ED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420F">
        <w:rPr>
          <w:rFonts w:ascii="Times New Roman" w:hAnsi="Times New Roman" w:cs="Times New Roman"/>
          <w:b/>
          <w:sz w:val="24"/>
          <w:szCs w:val="24"/>
          <w:u w:val="single"/>
        </w:rPr>
        <w:t>Conclusion</w:t>
      </w:r>
    </w:p>
    <w:p w:rsidR="00817AD0" w:rsidRPr="0014420F" w:rsidRDefault="00F00812" w:rsidP="00B07EDA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420F">
        <w:rPr>
          <w:rFonts w:ascii="Times New Roman" w:hAnsi="Times New Roman" w:cs="Times New Roman"/>
          <w:sz w:val="24"/>
          <w:szCs w:val="24"/>
        </w:rPr>
        <w:t>The EEG is a relatively inexpensive and easily available diagnostic tool aiding the clinician</w:t>
      </w:r>
      <w:r w:rsidRPr="0014420F">
        <w:rPr>
          <w:rFonts w:ascii="Times New Roman" w:hAnsi="Times New Roman" w:cs="Times New Roman"/>
          <w:sz w:val="24"/>
          <w:szCs w:val="24"/>
        </w:rPr>
        <w:br/>
        <w:t>to identify underlying causes in patients with altered mental status, or encephalopathy.</w:t>
      </w:r>
      <w:r w:rsidR="00817AD0" w:rsidRPr="0014420F">
        <w:rPr>
          <w:rFonts w:ascii="Times New Roman" w:hAnsi="Times New Roman" w:cs="Times New Roman"/>
          <w:sz w:val="24"/>
          <w:szCs w:val="24"/>
        </w:rPr>
        <w:t>Our study provides evidence that reinforces the need for routine EEG evaluati</w:t>
      </w:r>
      <w:r w:rsidRPr="0014420F">
        <w:rPr>
          <w:rFonts w:ascii="Times New Roman" w:hAnsi="Times New Roman" w:cs="Times New Roman"/>
          <w:sz w:val="24"/>
          <w:szCs w:val="24"/>
        </w:rPr>
        <w:t>on in all children with encephaopahies</w:t>
      </w:r>
      <w:r w:rsidR="00817AD0" w:rsidRPr="0014420F">
        <w:rPr>
          <w:rFonts w:ascii="Times New Roman" w:hAnsi="Times New Roman" w:cs="Times New Roman"/>
          <w:sz w:val="24"/>
          <w:szCs w:val="24"/>
        </w:rPr>
        <w:t>, even in resource-poor</w:t>
      </w:r>
      <w:r w:rsidR="00B07EDA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="00817AD0" w:rsidRPr="0014420F">
        <w:rPr>
          <w:rFonts w:ascii="Times New Roman" w:hAnsi="Times New Roman" w:cs="Times New Roman"/>
          <w:sz w:val="24"/>
          <w:szCs w:val="24"/>
        </w:rPr>
        <w:t>settings. Indeed, facilitating access to EEG services both in urban and in rural settings of resource-poor regions of the World will, in the long run, be one of the most cost-effective intervention allowing the accurate diagnosis and tre</w:t>
      </w:r>
      <w:r w:rsidRPr="0014420F">
        <w:rPr>
          <w:rFonts w:ascii="Times New Roman" w:hAnsi="Times New Roman" w:cs="Times New Roman"/>
          <w:sz w:val="24"/>
          <w:szCs w:val="24"/>
        </w:rPr>
        <w:t>atment of children with encephalopathy</w:t>
      </w:r>
      <w:r w:rsidR="00817AD0" w:rsidRPr="0014420F">
        <w:rPr>
          <w:rFonts w:ascii="Times New Roman" w:hAnsi="Times New Roman" w:cs="Times New Roman"/>
          <w:sz w:val="24"/>
          <w:szCs w:val="24"/>
        </w:rPr>
        <w:t>. This approach to the management of e</w:t>
      </w:r>
      <w:r w:rsidRPr="0014420F">
        <w:rPr>
          <w:rFonts w:ascii="Times New Roman" w:hAnsi="Times New Roman" w:cs="Times New Roman"/>
          <w:sz w:val="24"/>
          <w:szCs w:val="24"/>
        </w:rPr>
        <w:t>ncephalopaties</w:t>
      </w:r>
      <w:r w:rsidR="00817AD0" w:rsidRPr="0014420F">
        <w:rPr>
          <w:rFonts w:ascii="Times New Roman" w:hAnsi="Times New Roman" w:cs="Times New Roman"/>
          <w:sz w:val="24"/>
          <w:szCs w:val="24"/>
        </w:rPr>
        <w:t xml:space="preserve"> will therefore improve ou</w:t>
      </w:r>
      <w:r w:rsidRPr="0014420F">
        <w:rPr>
          <w:rFonts w:ascii="Times New Roman" w:hAnsi="Times New Roman" w:cs="Times New Roman"/>
          <w:sz w:val="24"/>
          <w:szCs w:val="24"/>
        </w:rPr>
        <w:t>tcomes in children with encephalopathies</w:t>
      </w:r>
      <w:r w:rsidR="00817AD0" w:rsidRPr="0014420F">
        <w:rPr>
          <w:rFonts w:ascii="Times New Roman" w:hAnsi="Times New Roman" w:cs="Times New Roman"/>
          <w:sz w:val="24"/>
          <w:szCs w:val="24"/>
        </w:rPr>
        <w:t xml:space="preserve"> and ultimately reduce the burden </w:t>
      </w:r>
      <w:r w:rsidRPr="0014420F">
        <w:rPr>
          <w:rFonts w:ascii="Times New Roman" w:hAnsi="Times New Roman" w:cs="Times New Roman"/>
          <w:sz w:val="24"/>
          <w:szCs w:val="24"/>
        </w:rPr>
        <w:t>of care and cost of encephalopathies</w:t>
      </w:r>
      <w:r w:rsidR="00817AD0" w:rsidRPr="0014420F">
        <w:rPr>
          <w:rFonts w:ascii="Times New Roman" w:hAnsi="Times New Roman" w:cs="Times New Roman"/>
          <w:sz w:val="24"/>
          <w:szCs w:val="24"/>
        </w:rPr>
        <w:t xml:space="preserve"> on both the caregivers and the already</w:t>
      </w:r>
      <w:r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="00817AD0" w:rsidRPr="0014420F">
        <w:rPr>
          <w:rFonts w:ascii="Times New Roman" w:hAnsi="Times New Roman" w:cs="Times New Roman"/>
          <w:sz w:val="24"/>
          <w:szCs w:val="24"/>
        </w:rPr>
        <w:t xml:space="preserve">overloaded tertiary-care public health systems.We must emphasize that there is an urgent need to improve access to EEG evaluation in </w:t>
      </w:r>
      <w:r w:rsidRPr="0014420F">
        <w:rPr>
          <w:rFonts w:ascii="Times New Roman" w:hAnsi="Times New Roman" w:cs="Times New Roman"/>
          <w:sz w:val="24"/>
          <w:szCs w:val="24"/>
        </w:rPr>
        <w:t>individuals with encephalopathies in other part of Libya,</w:t>
      </w:r>
      <w:r w:rsidR="00817AD0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>where the burden of encephalopathies</w:t>
      </w:r>
      <w:r w:rsidR="00817AD0" w:rsidRPr="0014420F">
        <w:rPr>
          <w:rFonts w:ascii="Times New Roman" w:hAnsi="Times New Roman" w:cs="Times New Roman"/>
          <w:sz w:val="24"/>
          <w:szCs w:val="24"/>
        </w:rPr>
        <w:t xml:space="preserve"> resides in large numbers.</w:t>
      </w:r>
    </w:p>
    <w:p w:rsidR="00E04E35" w:rsidRDefault="00E04E35" w:rsidP="00BD0BA9">
      <w:pPr>
        <w:jc w:val="both"/>
        <w:rPr>
          <w:rFonts w:ascii="Tahoma" w:hAnsi="Tahoma" w:cs="Tahoma"/>
          <w:sz w:val="24"/>
          <w:szCs w:val="24"/>
        </w:rPr>
      </w:pPr>
    </w:p>
    <w:p w:rsidR="00472E2E" w:rsidRDefault="00DA6180" w:rsidP="00BD0BA9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Acknowledgement:</w:t>
      </w:r>
    </w:p>
    <w:p w:rsidR="00DA6180" w:rsidRPr="00514336" w:rsidRDefault="00DA6180" w:rsidP="00BD0BA9">
      <w:pPr>
        <w:jc w:val="both"/>
        <w:rPr>
          <w:rFonts w:ascii="Times New Roman" w:hAnsi="Times New Roman" w:cs="Times New Roman"/>
          <w:sz w:val="24"/>
          <w:szCs w:val="24"/>
        </w:rPr>
      </w:pPr>
      <w:r w:rsidRPr="00514336">
        <w:rPr>
          <w:rFonts w:ascii="Times New Roman" w:hAnsi="Times New Roman" w:cs="Times New Roman"/>
          <w:sz w:val="24"/>
          <w:szCs w:val="24"/>
        </w:rPr>
        <w:t xml:space="preserve">Author thanks to the Tyba Center for Medical Imaging for providing the EEG </w:t>
      </w:r>
      <w:r w:rsidR="00514336" w:rsidRPr="00514336">
        <w:rPr>
          <w:rFonts w:ascii="Times New Roman" w:hAnsi="Times New Roman" w:cs="Times New Roman"/>
          <w:sz w:val="24"/>
          <w:szCs w:val="24"/>
        </w:rPr>
        <w:t>reports.</w:t>
      </w:r>
    </w:p>
    <w:p w:rsidR="00514336" w:rsidRDefault="00514336" w:rsidP="00BD0BA9">
      <w:pPr>
        <w:jc w:val="both"/>
        <w:rPr>
          <w:rFonts w:ascii="Tahoma" w:hAnsi="Tahoma" w:cs="Tahoma"/>
          <w:b/>
          <w:sz w:val="24"/>
          <w:szCs w:val="24"/>
          <w:u w:val="single"/>
        </w:rPr>
      </w:pPr>
    </w:p>
    <w:p w:rsidR="00514336" w:rsidRDefault="00514336" w:rsidP="00BD0BA9">
      <w:pPr>
        <w:jc w:val="both"/>
        <w:rPr>
          <w:rFonts w:ascii="Tahoma" w:hAnsi="Tahoma" w:cs="Tahoma"/>
          <w:b/>
          <w:sz w:val="24"/>
          <w:szCs w:val="24"/>
          <w:u w:val="single"/>
        </w:rPr>
      </w:pPr>
    </w:p>
    <w:p w:rsidR="00722189" w:rsidRPr="0014420F" w:rsidRDefault="00722189" w:rsidP="00BD0BA9">
      <w:pPr>
        <w:jc w:val="both"/>
        <w:rPr>
          <w:rFonts w:ascii="Tahoma" w:hAnsi="Tahoma" w:cs="Tahoma"/>
          <w:b/>
          <w:sz w:val="24"/>
          <w:szCs w:val="24"/>
          <w:u w:val="single"/>
        </w:rPr>
      </w:pPr>
      <w:r w:rsidRPr="0014420F">
        <w:rPr>
          <w:rFonts w:ascii="Tahoma" w:hAnsi="Tahoma" w:cs="Tahoma"/>
          <w:b/>
          <w:sz w:val="24"/>
          <w:szCs w:val="24"/>
          <w:u w:val="single"/>
        </w:rPr>
        <w:lastRenderedPageBreak/>
        <w:t>References</w:t>
      </w:r>
    </w:p>
    <w:p w:rsidR="00722189" w:rsidRPr="0014420F" w:rsidRDefault="00722189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1.Ely EW, Shintani A, Truman B, et al. Delirium as a predictor of mortality in mechanically ventilated</w:t>
      </w:r>
      <w:r w:rsidR="0014420F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>patients in the intensive care unit. JAMA. 2004; 291:1753–62.</w:t>
      </w:r>
    </w:p>
    <w:p w:rsidR="00722189" w:rsidRPr="0014420F" w:rsidRDefault="002075EB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2.</w:t>
      </w:r>
      <w:r w:rsidR="00722189" w:rsidRPr="0014420F">
        <w:rPr>
          <w:rFonts w:ascii="Times New Roman" w:hAnsi="Times New Roman" w:cs="Times New Roman"/>
          <w:sz w:val="24"/>
          <w:szCs w:val="24"/>
        </w:rPr>
        <w:t>Kaplan PW. The EEG in metabolic encephalopathy and coma. J Clin Neurophysiol. 2004; 21:307–18.</w:t>
      </w:r>
    </w:p>
    <w:p w:rsidR="00472E2E" w:rsidRPr="0014420F" w:rsidRDefault="002075EB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3. McDermott MT. Hyperthyroidism. Ann Intern Med. 2012; 157:ITC1–16. [PubMed: 22751778]</w:t>
      </w:r>
    </w:p>
    <w:p w:rsidR="00472E2E" w:rsidRPr="0014420F" w:rsidRDefault="002075EB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4. Leubuscher HJ, Herrmann F, Hambsch K, Langpeter D, Mueller P, Sorger D. EEG changes in</w:t>
      </w:r>
      <w:r w:rsidRPr="0014420F">
        <w:rPr>
          <w:rFonts w:ascii="Times New Roman" w:hAnsi="Times New Roman" w:cs="Times New Roman"/>
          <w:sz w:val="24"/>
          <w:szCs w:val="24"/>
        </w:rPr>
        <w:br/>
        <w:t>untreated hyperthyroidism and under the conditions of thyreostatic treatment. Exp Clin</w:t>
      </w:r>
      <w:r w:rsidRPr="0014420F">
        <w:rPr>
          <w:rFonts w:ascii="Times New Roman" w:hAnsi="Times New Roman" w:cs="Times New Roman"/>
          <w:sz w:val="24"/>
          <w:szCs w:val="24"/>
        </w:rPr>
        <w:br/>
        <w:t>Endocrinol. 1988; 92:85–90.</w:t>
      </w:r>
    </w:p>
    <w:p w:rsidR="00472E2E" w:rsidRPr="0014420F" w:rsidRDefault="002075EB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5. Rubin MA, Cohen LH, Hoagland H. The effect of artificially raised metabolic rate on the electroencephalogram of schizophrenic patients. Endocrinology. 1937; 21:536–40.</w:t>
      </w:r>
    </w:p>
    <w:p w:rsidR="00472E2E" w:rsidRPr="0014420F" w:rsidRDefault="002075EB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6. Vague J, Gastaut H, Favier G, Rey J. Electroencephalography in endocrine pathology. Mars Med.</w:t>
      </w:r>
      <w:r w:rsidR="0014420F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>1952; 89:1–17.</w:t>
      </w:r>
    </w:p>
    <w:p w:rsidR="00472E2E" w:rsidRPr="0014420F" w:rsidRDefault="002075EB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7. Condon JV, Becka DR, Gibbs FA. Electroencephalographic abnormalities in hyperthyroidism. J Clin</w:t>
      </w:r>
      <w:r w:rsidR="0014420F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>Endocrinol Metab. 1954; 14:1511–8.</w:t>
      </w:r>
    </w:p>
    <w:p w:rsidR="00CF0CD0" w:rsidRPr="0014420F" w:rsidRDefault="002075EB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8. Vague J, Gastaut H, Codaccioni JL, Roger A. EEG in thyroid diseases. Ann Endocrinol (Paris). 1957;</w:t>
      </w:r>
      <w:r w:rsidR="0014420F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>18:996–1008.</w:t>
      </w:r>
    </w:p>
    <w:p w:rsidR="00CF0CD0" w:rsidRPr="0014420F" w:rsidRDefault="002075EB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9. Wilson WP, Johnson JE, Feist FW. Thyroid hormone and brain function. ii. changes in photically</w:t>
      </w:r>
      <w:r w:rsidR="0014420F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>elicited eeg responses following the administration of triiodothyronine to normal subjects.</w:t>
      </w:r>
      <w:r w:rsidR="0014420F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>Electroencephalogr Clin Neurophysiol. 1964; 16:329–31.</w:t>
      </w:r>
    </w:p>
    <w:p w:rsidR="00CF0CD0" w:rsidRPr="0014420F" w:rsidRDefault="002075EB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10. Scherokman BJ. Triphasic delta waves in a patient with acute hyperthyroidism. Arch Neurol. 1980;</w:t>
      </w:r>
      <w:r w:rsidR="0014420F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>37:731.</w:t>
      </w:r>
    </w:p>
    <w:p w:rsidR="002359DA" w:rsidRPr="0014420F" w:rsidRDefault="002359DA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11. Hirano M, Endo M, Kubo T. Triphasic delta waves in a case of hyperthyroidism with psychotic</w:t>
      </w:r>
      <w:r w:rsidR="0014420F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>symptoms. Clin Electroencephalogr. 1982; 13:97–102.</w:t>
      </w:r>
    </w:p>
    <w:p w:rsidR="002075EB" w:rsidRPr="0014420F" w:rsidRDefault="002359DA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12. Homma M, Shimizu S, Ogata M, Yamada Y, Saito T, Yamamoto T. Hypoglycemic coma</w:t>
      </w:r>
      <w:r w:rsidRPr="0014420F">
        <w:rPr>
          <w:rFonts w:ascii="Times New Roman" w:hAnsi="Times New Roman" w:cs="Times New Roman"/>
          <w:sz w:val="24"/>
          <w:szCs w:val="24"/>
        </w:rPr>
        <w:br/>
        <w:t>masquerading thyrotoxic storm. Intern Med. 1999; 38:871–4.</w:t>
      </w:r>
    </w:p>
    <w:p w:rsidR="00CF0CD0" w:rsidRPr="0014420F" w:rsidRDefault="002359DA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13. Izumi T, Fukuyama Y. Influence of ACTH on serum hormone content and its anticonvulsant action</w:t>
      </w:r>
      <w:r w:rsidR="0014420F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>towards infantile spasms. Life Sci. 1984; 34:1023–8</w:t>
      </w:r>
    </w:p>
    <w:p w:rsidR="002359DA" w:rsidRPr="0014420F" w:rsidRDefault="002359DA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14. Korczyn AD, Bechar M. Convulsive fits in thyrotoxicosis. Epilepsia. 1976; 17:33–4.</w:t>
      </w:r>
    </w:p>
    <w:p w:rsidR="002359DA" w:rsidRPr="0014420F" w:rsidRDefault="002359DA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15. Jabbari B, Huott AD. Seizures in thyrotoxicosis. Epilepsia. 1980; 21:91–6.</w:t>
      </w:r>
    </w:p>
    <w:p w:rsidR="002359DA" w:rsidRPr="0014420F" w:rsidRDefault="002359DA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lastRenderedPageBreak/>
        <w:t>16. Safe AF, Griffiths KD, Maxwell RT. Thyrotoxic crisis presenting as status epilepticus. Postgrad Med</w:t>
      </w:r>
      <w:r w:rsidR="0014420F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>J. 1990; 66:150–2.</w:t>
      </w:r>
    </w:p>
    <w:p w:rsidR="002359DA" w:rsidRPr="0014420F" w:rsidRDefault="002359DA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17. Su YH, Izumi T, Kitsu M, Fukuyama Y. Seizure threshold in juvenile myoclonic epilepsy with graves</w:t>
      </w:r>
      <w:r w:rsidR="0014420F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>disease. Epilepsia. 1993; 34:488–92.</w:t>
      </w:r>
    </w:p>
    <w:p w:rsidR="002359DA" w:rsidRPr="0014420F" w:rsidRDefault="002359DA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18. Obeid T, Awada A, al Rajeh S, Chaballout A. Thyroxine exacerbates absence seizures in juvenile</w:t>
      </w:r>
      <w:r w:rsidR="0014420F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>myoclonic epilepsy. Neurology. 1996; 47:605–6.</w:t>
      </w:r>
    </w:p>
    <w:p w:rsidR="002359DA" w:rsidRPr="0014420F" w:rsidRDefault="002359DA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19. Maeda T, Izumi T. Generalized convulsions with diffuse spike and wave bursts emerging with graves’</w:t>
      </w:r>
      <w:r w:rsidR="0014420F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>disease. Neuropediatrics. 2006; 37:305–7.</w:t>
      </w:r>
    </w:p>
    <w:p w:rsidR="002359DA" w:rsidRPr="0014420F" w:rsidRDefault="002359DA" w:rsidP="0014420F">
      <w:pPr>
        <w:jc w:val="both"/>
        <w:rPr>
          <w:rFonts w:ascii="Times New Roman" w:hAnsi="Times New Roman" w:cs="Times New Roman"/>
          <w:sz w:val="24"/>
          <w:szCs w:val="24"/>
        </w:rPr>
      </w:pPr>
      <w:r w:rsidRPr="0014420F">
        <w:rPr>
          <w:rFonts w:ascii="Times New Roman" w:hAnsi="Times New Roman" w:cs="Times New Roman"/>
          <w:sz w:val="24"/>
          <w:szCs w:val="24"/>
        </w:rPr>
        <w:t>20. Sundaram MB, Hill A, Lowry N. Thyroxine-induced petit mal status epilepticus. Neurology. 1985;</w:t>
      </w:r>
      <w:r w:rsidR="0014420F" w:rsidRPr="0014420F">
        <w:rPr>
          <w:rFonts w:ascii="Times New Roman" w:hAnsi="Times New Roman" w:cs="Times New Roman"/>
          <w:sz w:val="24"/>
          <w:szCs w:val="24"/>
        </w:rPr>
        <w:t xml:space="preserve"> </w:t>
      </w:r>
      <w:r w:rsidRPr="0014420F">
        <w:rPr>
          <w:rFonts w:ascii="Times New Roman" w:hAnsi="Times New Roman" w:cs="Times New Roman"/>
          <w:sz w:val="24"/>
          <w:szCs w:val="24"/>
        </w:rPr>
        <w:t>35:1792–3.</w:t>
      </w:r>
    </w:p>
    <w:p w:rsidR="0014420F" w:rsidRPr="0014420F" w:rsidRDefault="0014420F" w:rsidP="0014420F">
      <w:pPr>
        <w:rPr>
          <w:b/>
        </w:rPr>
      </w:pPr>
    </w:p>
    <w:p w:rsidR="0014420F" w:rsidRPr="0014420F" w:rsidRDefault="0014420F" w:rsidP="0014420F">
      <w:pPr>
        <w:rPr>
          <w:b/>
        </w:rPr>
      </w:pPr>
      <w:r w:rsidRPr="0014420F">
        <w:rPr>
          <w:b/>
        </w:rPr>
        <w:t>Table 1. Number of normal and abnormal patients</w:t>
      </w:r>
    </w:p>
    <w:tbl>
      <w:tblPr>
        <w:tblStyle w:val="TableGrid"/>
        <w:tblW w:w="0" w:type="auto"/>
        <w:tblLook w:val="04A0"/>
      </w:tblPr>
      <w:tblGrid>
        <w:gridCol w:w="1031"/>
        <w:gridCol w:w="899"/>
        <w:gridCol w:w="2059"/>
        <w:gridCol w:w="2239"/>
        <w:gridCol w:w="2239"/>
      </w:tblGrid>
      <w:tr w:rsidR="0014420F" w:rsidRPr="0014420F" w:rsidTr="00C95832">
        <w:trPr>
          <w:trHeight w:val="327"/>
        </w:trPr>
        <w:tc>
          <w:tcPr>
            <w:tcW w:w="1031" w:type="dxa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No. of Patients</w:t>
            </w:r>
          </w:p>
        </w:tc>
        <w:tc>
          <w:tcPr>
            <w:tcW w:w="2958" w:type="dxa"/>
            <w:gridSpan w:val="2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Normal EEG (38)</w:t>
            </w:r>
          </w:p>
        </w:tc>
        <w:tc>
          <w:tcPr>
            <w:tcW w:w="4478" w:type="dxa"/>
            <w:gridSpan w:val="2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Abnormal EEG (62)</w:t>
            </w:r>
          </w:p>
          <w:p w:rsidR="0014420F" w:rsidRPr="0014420F" w:rsidRDefault="0014420F" w:rsidP="00C95832">
            <w:pPr>
              <w:jc w:val="center"/>
              <w:rPr>
                <w:b/>
              </w:rPr>
            </w:pPr>
          </w:p>
        </w:tc>
      </w:tr>
      <w:tr w:rsidR="0014420F" w:rsidRPr="0014420F" w:rsidTr="00C95832">
        <w:trPr>
          <w:trHeight w:val="347"/>
        </w:trPr>
        <w:tc>
          <w:tcPr>
            <w:tcW w:w="1031" w:type="dxa"/>
            <w:vMerge w:val="restart"/>
          </w:tcPr>
          <w:p w:rsidR="0014420F" w:rsidRPr="0014420F" w:rsidRDefault="0014420F" w:rsidP="00C95832">
            <w:pPr>
              <w:jc w:val="center"/>
            </w:pPr>
          </w:p>
          <w:p w:rsidR="0014420F" w:rsidRPr="0014420F" w:rsidRDefault="0014420F" w:rsidP="00C95832">
            <w:pPr>
              <w:jc w:val="center"/>
            </w:pPr>
            <w:r w:rsidRPr="0014420F">
              <w:t>100</w:t>
            </w:r>
          </w:p>
        </w:tc>
        <w:tc>
          <w:tcPr>
            <w:tcW w:w="899" w:type="dxa"/>
          </w:tcPr>
          <w:p w:rsidR="0014420F" w:rsidRPr="0014420F" w:rsidRDefault="0014420F" w:rsidP="00C95832">
            <w:pPr>
              <w:jc w:val="center"/>
            </w:pPr>
            <w:r w:rsidRPr="0014420F">
              <w:t>Male</w:t>
            </w:r>
          </w:p>
        </w:tc>
        <w:tc>
          <w:tcPr>
            <w:tcW w:w="2059" w:type="dxa"/>
          </w:tcPr>
          <w:p w:rsidR="0014420F" w:rsidRPr="0014420F" w:rsidRDefault="0014420F" w:rsidP="00C95832">
            <w:pPr>
              <w:jc w:val="center"/>
            </w:pPr>
            <w:r w:rsidRPr="0014420F">
              <w:t>Female</w:t>
            </w:r>
          </w:p>
        </w:tc>
        <w:tc>
          <w:tcPr>
            <w:tcW w:w="2239" w:type="dxa"/>
          </w:tcPr>
          <w:p w:rsidR="0014420F" w:rsidRPr="0014420F" w:rsidRDefault="0014420F" w:rsidP="00C95832">
            <w:pPr>
              <w:jc w:val="center"/>
            </w:pPr>
            <w:r w:rsidRPr="0014420F">
              <w:t>Male</w:t>
            </w:r>
          </w:p>
        </w:tc>
        <w:tc>
          <w:tcPr>
            <w:tcW w:w="2239" w:type="dxa"/>
          </w:tcPr>
          <w:p w:rsidR="0014420F" w:rsidRPr="0014420F" w:rsidRDefault="0014420F" w:rsidP="00C95832">
            <w:pPr>
              <w:jc w:val="center"/>
            </w:pPr>
            <w:r w:rsidRPr="0014420F">
              <w:t>Female</w:t>
            </w:r>
          </w:p>
        </w:tc>
      </w:tr>
      <w:tr w:rsidR="0014420F" w:rsidRPr="0014420F" w:rsidTr="00C95832">
        <w:trPr>
          <w:trHeight w:val="347"/>
        </w:trPr>
        <w:tc>
          <w:tcPr>
            <w:tcW w:w="1031" w:type="dxa"/>
            <w:vMerge/>
          </w:tcPr>
          <w:p w:rsidR="0014420F" w:rsidRPr="0014420F" w:rsidRDefault="0014420F" w:rsidP="00C95832">
            <w:pPr>
              <w:jc w:val="center"/>
            </w:pPr>
          </w:p>
        </w:tc>
        <w:tc>
          <w:tcPr>
            <w:tcW w:w="899" w:type="dxa"/>
          </w:tcPr>
          <w:p w:rsidR="0014420F" w:rsidRPr="0014420F" w:rsidRDefault="0014420F" w:rsidP="00C95832">
            <w:pPr>
              <w:jc w:val="center"/>
            </w:pPr>
            <w:r w:rsidRPr="0014420F">
              <w:t>24</w:t>
            </w:r>
          </w:p>
        </w:tc>
        <w:tc>
          <w:tcPr>
            <w:tcW w:w="2059" w:type="dxa"/>
          </w:tcPr>
          <w:p w:rsidR="0014420F" w:rsidRPr="0014420F" w:rsidRDefault="0014420F" w:rsidP="00C95832">
            <w:pPr>
              <w:jc w:val="center"/>
            </w:pPr>
            <w:r w:rsidRPr="0014420F">
              <w:t>14</w:t>
            </w:r>
          </w:p>
        </w:tc>
        <w:tc>
          <w:tcPr>
            <w:tcW w:w="2239" w:type="dxa"/>
          </w:tcPr>
          <w:p w:rsidR="0014420F" w:rsidRPr="0014420F" w:rsidRDefault="0014420F" w:rsidP="00C95832">
            <w:pPr>
              <w:jc w:val="center"/>
            </w:pPr>
            <w:r w:rsidRPr="0014420F">
              <w:t>31</w:t>
            </w:r>
          </w:p>
        </w:tc>
        <w:tc>
          <w:tcPr>
            <w:tcW w:w="2239" w:type="dxa"/>
          </w:tcPr>
          <w:p w:rsidR="0014420F" w:rsidRPr="0014420F" w:rsidRDefault="0014420F" w:rsidP="00C95832">
            <w:pPr>
              <w:jc w:val="center"/>
            </w:pPr>
            <w:r w:rsidRPr="0014420F">
              <w:t>31</w:t>
            </w:r>
          </w:p>
        </w:tc>
      </w:tr>
    </w:tbl>
    <w:p w:rsidR="0014420F" w:rsidRPr="0014420F" w:rsidRDefault="0014420F" w:rsidP="0014420F"/>
    <w:p w:rsidR="0014420F" w:rsidRPr="0014420F" w:rsidRDefault="0014420F" w:rsidP="0014420F">
      <w:pPr>
        <w:rPr>
          <w:b/>
        </w:rPr>
      </w:pPr>
      <w:r w:rsidRPr="0014420F">
        <w:rPr>
          <w:b/>
        </w:rPr>
        <w:t>Table2: Distribution of number of abnormal patients</w:t>
      </w:r>
    </w:p>
    <w:tbl>
      <w:tblPr>
        <w:tblStyle w:val="TableGrid"/>
        <w:tblW w:w="10268" w:type="dxa"/>
        <w:tblLook w:val="04A0"/>
      </w:tblPr>
      <w:tblGrid>
        <w:gridCol w:w="1689"/>
        <w:gridCol w:w="1931"/>
        <w:gridCol w:w="1662"/>
        <w:gridCol w:w="1662"/>
        <w:gridCol w:w="1662"/>
        <w:gridCol w:w="1662"/>
      </w:tblGrid>
      <w:tr w:rsidR="0014420F" w:rsidRPr="0014420F" w:rsidTr="00C95832">
        <w:trPr>
          <w:trHeight w:val="253"/>
        </w:trPr>
        <w:tc>
          <w:tcPr>
            <w:tcW w:w="1689" w:type="dxa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No.of Patients</w:t>
            </w:r>
          </w:p>
        </w:tc>
        <w:tc>
          <w:tcPr>
            <w:tcW w:w="8579" w:type="dxa"/>
            <w:gridSpan w:val="5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Encephalopathies (62)</w:t>
            </w:r>
          </w:p>
        </w:tc>
      </w:tr>
      <w:tr w:rsidR="0014420F" w:rsidRPr="0014420F" w:rsidTr="00C95832">
        <w:trPr>
          <w:trHeight w:val="535"/>
        </w:trPr>
        <w:tc>
          <w:tcPr>
            <w:tcW w:w="1689" w:type="dxa"/>
            <w:vMerge w:val="restart"/>
          </w:tcPr>
          <w:p w:rsidR="0014420F" w:rsidRPr="0014420F" w:rsidRDefault="0014420F" w:rsidP="00C95832">
            <w:pPr>
              <w:jc w:val="center"/>
            </w:pPr>
          </w:p>
          <w:p w:rsidR="0014420F" w:rsidRPr="0014420F" w:rsidRDefault="0014420F" w:rsidP="00C95832">
            <w:pPr>
              <w:jc w:val="center"/>
            </w:pPr>
            <w:r w:rsidRPr="0014420F">
              <w:t>100</w:t>
            </w:r>
          </w:p>
        </w:tc>
        <w:tc>
          <w:tcPr>
            <w:tcW w:w="1931" w:type="dxa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Seizures</w:t>
            </w:r>
          </w:p>
        </w:tc>
        <w:tc>
          <w:tcPr>
            <w:tcW w:w="1662" w:type="dxa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Trembling</w:t>
            </w:r>
          </w:p>
        </w:tc>
        <w:tc>
          <w:tcPr>
            <w:tcW w:w="1662" w:type="dxa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Involuentary Twisting</w:t>
            </w:r>
          </w:p>
        </w:tc>
        <w:tc>
          <w:tcPr>
            <w:tcW w:w="1662" w:type="dxa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Swallowing</w:t>
            </w:r>
          </w:p>
        </w:tc>
        <w:tc>
          <w:tcPr>
            <w:tcW w:w="1662" w:type="dxa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Muscles Weakness</w:t>
            </w:r>
          </w:p>
        </w:tc>
      </w:tr>
      <w:tr w:rsidR="0014420F" w:rsidRPr="0014420F" w:rsidTr="00C95832">
        <w:trPr>
          <w:trHeight w:val="253"/>
        </w:trPr>
        <w:tc>
          <w:tcPr>
            <w:tcW w:w="1689" w:type="dxa"/>
            <w:vMerge/>
          </w:tcPr>
          <w:p w:rsidR="0014420F" w:rsidRPr="0014420F" w:rsidRDefault="0014420F" w:rsidP="00C95832">
            <w:pPr>
              <w:jc w:val="center"/>
            </w:pPr>
          </w:p>
        </w:tc>
        <w:tc>
          <w:tcPr>
            <w:tcW w:w="1931" w:type="dxa"/>
          </w:tcPr>
          <w:p w:rsidR="0014420F" w:rsidRPr="0014420F" w:rsidRDefault="0014420F" w:rsidP="00C95832">
            <w:pPr>
              <w:jc w:val="center"/>
            </w:pPr>
            <w:r w:rsidRPr="0014420F">
              <w:t>25</w:t>
            </w:r>
          </w:p>
        </w:tc>
        <w:tc>
          <w:tcPr>
            <w:tcW w:w="1662" w:type="dxa"/>
          </w:tcPr>
          <w:p w:rsidR="0014420F" w:rsidRPr="0014420F" w:rsidRDefault="0014420F" w:rsidP="00C95832">
            <w:pPr>
              <w:jc w:val="center"/>
            </w:pPr>
            <w:r w:rsidRPr="0014420F">
              <w:t>9</w:t>
            </w:r>
          </w:p>
        </w:tc>
        <w:tc>
          <w:tcPr>
            <w:tcW w:w="1662" w:type="dxa"/>
          </w:tcPr>
          <w:p w:rsidR="0014420F" w:rsidRPr="0014420F" w:rsidRDefault="0014420F" w:rsidP="00C95832">
            <w:pPr>
              <w:jc w:val="center"/>
            </w:pPr>
            <w:r w:rsidRPr="0014420F">
              <w:t>6</w:t>
            </w:r>
          </w:p>
        </w:tc>
        <w:tc>
          <w:tcPr>
            <w:tcW w:w="1662" w:type="dxa"/>
          </w:tcPr>
          <w:p w:rsidR="0014420F" w:rsidRPr="0014420F" w:rsidRDefault="0014420F" w:rsidP="00C95832">
            <w:pPr>
              <w:jc w:val="center"/>
            </w:pPr>
            <w:r w:rsidRPr="0014420F">
              <w:t>7</w:t>
            </w:r>
          </w:p>
        </w:tc>
        <w:tc>
          <w:tcPr>
            <w:tcW w:w="1662" w:type="dxa"/>
          </w:tcPr>
          <w:p w:rsidR="0014420F" w:rsidRPr="0014420F" w:rsidRDefault="0014420F" w:rsidP="00C95832">
            <w:pPr>
              <w:jc w:val="center"/>
            </w:pPr>
            <w:r w:rsidRPr="0014420F">
              <w:t>15</w:t>
            </w:r>
          </w:p>
        </w:tc>
      </w:tr>
    </w:tbl>
    <w:p w:rsidR="0014420F" w:rsidRPr="0014420F" w:rsidRDefault="0014420F" w:rsidP="0014420F"/>
    <w:p w:rsidR="0014420F" w:rsidRPr="0014420F" w:rsidRDefault="0014420F" w:rsidP="0014420F">
      <w:pPr>
        <w:rPr>
          <w:b/>
        </w:rPr>
      </w:pPr>
      <w:r w:rsidRPr="0014420F">
        <w:rPr>
          <w:b/>
        </w:rPr>
        <w:t>Table3: Distribution of number of abnormal patients with male and female.</w:t>
      </w:r>
    </w:p>
    <w:p w:rsidR="0014420F" w:rsidRPr="0014420F" w:rsidRDefault="0014420F" w:rsidP="0014420F"/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14420F" w:rsidRPr="0014420F" w:rsidTr="00C95832">
        <w:tc>
          <w:tcPr>
            <w:tcW w:w="2394" w:type="dxa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No. of Patients</w:t>
            </w: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Encephalopathies(62)</w:t>
            </w: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Male (31)</w:t>
            </w: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Female (31)</w:t>
            </w:r>
          </w:p>
        </w:tc>
      </w:tr>
      <w:tr w:rsidR="0014420F" w:rsidRPr="0014420F" w:rsidTr="00C95832">
        <w:tc>
          <w:tcPr>
            <w:tcW w:w="2394" w:type="dxa"/>
            <w:vMerge w:val="restart"/>
          </w:tcPr>
          <w:p w:rsidR="0014420F" w:rsidRPr="0014420F" w:rsidRDefault="0014420F" w:rsidP="00C95832">
            <w:pPr>
              <w:jc w:val="center"/>
            </w:pPr>
          </w:p>
          <w:p w:rsidR="0014420F" w:rsidRPr="0014420F" w:rsidRDefault="0014420F" w:rsidP="00C95832">
            <w:pPr>
              <w:ind w:firstLine="720"/>
            </w:pPr>
            <w:r w:rsidRPr="0014420F">
              <w:t>100</w:t>
            </w: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</w:pPr>
            <w:r w:rsidRPr="0014420F">
              <w:t>Seizures</w:t>
            </w: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</w:pPr>
            <w:r w:rsidRPr="0014420F">
              <w:t>15</w:t>
            </w: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</w:pPr>
            <w:r w:rsidRPr="0014420F">
              <w:t>10</w:t>
            </w:r>
          </w:p>
        </w:tc>
      </w:tr>
      <w:tr w:rsidR="0014420F" w:rsidRPr="0014420F" w:rsidTr="00C95832">
        <w:tc>
          <w:tcPr>
            <w:tcW w:w="2394" w:type="dxa"/>
            <w:vMerge/>
          </w:tcPr>
          <w:p w:rsidR="0014420F" w:rsidRPr="0014420F" w:rsidRDefault="0014420F" w:rsidP="00C95832">
            <w:pPr>
              <w:jc w:val="center"/>
            </w:pP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</w:pPr>
            <w:r w:rsidRPr="0014420F">
              <w:t>Trembling</w:t>
            </w: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</w:pPr>
            <w:r w:rsidRPr="0014420F">
              <w:t>4</w:t>
            </w: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</w:pPr>
            <w:r w:rsidRPr="0014420F">
              <w:t>5</w:t>
            </w:r>
          </w:p>
        </w:tc>
      </w:tr>
      <w:tr w:rsidR="0014420F" w:rsidRPr="0014420F" w:rsidTr="00C95832">
        <w:tc>
          <w:tcPr>
            <w:tcW w:w="2394" w:type="dxa"/>
            <w:vMerge/>
          </w:tcPr>
          <w:p w:rsidR="0014420F" w:rsidRPr="0014420F" w:rsidRDefault="0014420F" w:rsidP="00C95832">
            <w:pPr>
              <w:jc w:val="center"/>
            </w:pP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</w:pPr>
            <w:r w:rsidRPr="0014420F">
              <w:t>Involuntary Twisting</w:t>
            </w: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</w:pPr>
            <w:r w:rsidRPr="0014420F">
              <w:t>3</w:t>
            </w: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</w:pPr>
            <w:r w:rsidRPr="0014420F">
              <w:t>3</w:t>
            </w:r>
          </w:p>
        </w:tc>
      </w:tr>
      <w:tr w:rsidR="0014420F" w:rsidRPr="0014420F" w:rsidTr="00C95832">
        <w:tc>
          <w:tcPr>
            <w:tcW w:w="2394" w:type="dxa"/>
            <w:vMerge/>
          </w:tcPr>
          <w:p w:rsidR="0014420F" w:rsidRPr="0014420F" w:rsidRDefault="0014420F" w:rsidP="00C95832">
            <w:pPr>
              <w:jc w:val="center"/>
            </w:pP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</w:pPr>
            <w:r w:rsidRPr="0014420F">
              <w:t>Swallowing</w:t>
            </w: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</w:pPr>
            <w:r w:rsidRPr="0014420F">
              <w:t>2</w:t>
            </w: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</w:pPr>
            <w:r w:rsidRPr="0014420F">
              <w:t>5</w:t>
            </w:r>
          </w:p>
        </w:tc>
      </w:tr>
      <w:tr w:rsidR="0014420F" w:rsidRPr="0014420F" w:rsidTr="00C95832">
        <w:tc>
          <w:tcPr>
            <w:tcW w:w="2394" w:type="dxa"/>
            <w:vMerge/>
          </w:tcPr>
          <w:p w:rsidR="0014420F" w:rsidRPr="0014420F" w:rsidRDefault="0014420F" w:rsidP="00C95832">
            <w:pPr>
              <w:jc w:val="center"/>
            </w:pP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</w:pPr>
            <w:r w:rsidRPr="0014420F">
              <w:t>Muscles Weakness</w:t>
            </w: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</w:pPr>
            <w:r w:rsidRPr="0014420F">
              <w:t>7</w:t>
            </w:r>
          </w:p>
        </w:tc>
        <w:tc>
          <w:tcPr>
            <w:tcW w:w="2394" w:type="dxa"/>
          </w:tcPr>
          <w:p w:rsidR="0014420F" w:rsidRPr="0014420F" w:rsidRDefault="0014420F" w:rsidP="00C95832">
            <w:pPr>
              <w:jc w:val="center"/>
            </w:pPr>
            <w:r w:rsidRPr="0014420F">
              <w:t>8</w:t>
            </w:r>
          </w:p>
        </w:tc>
      </w:tr>
    </w:tbl>
    <w:p w:rsidR="0014420F" w:rsidRPr="0014420F" w:rsidRDefault="0014420F" w:rsidP="0014420F"/>
    <w:p w:rsidR="0014420F" w:rsidRDefault="0014420F" w:rsidP="0014420F">
      <w:pPr>
        <w:rPr>
          <w:b/>
        </w:rPr>
      </w:pPr>
    </w:p>
    <w:p w:rsidR="00514336" w:rsidRPr="0014420F" w:rsidRDefault="00514336" w:rsidP="0014420F">
      <w:pPr>
        <w:rPr>
          <w:b/>
        </w:rPr>
      </w:pPr>
    </w:p>
    <w:p w:rsidR="0014420F" w:rsidRPr="0014420F" w:rsidRDefault="0014420F" w:rsidP="0014420F">
      <w:pPr>
        <w:rPr>
          <w:b/>
        </w:rPr>
      </w:pPr>
      <w:r w:rsidRPr="0014420F">
        <w:rPr>
          <w:b/>
        </w:rPr>
        <w:lastRenderedPageBreak/>
        <w:t>Table4: Distribution of normal of abnormal patients in 2017 and 2018.</w:t>
      </w:r>
    </w:p>
    <w:p w:rsidR="0014420F" w:rsidRPr="0014420F" w:rsidRDefault="0014420F" w:rsidP="0014420F"/>
    <w:tbl>
      <w:tblPr>
        <w:tblStyle w:val="TableGrid"/>
        <w:tblW w:w="0" w:type="auto"/>
        <w:tblLook w:val="04A0"/>
      </w:tblPr>
      <w:tblGrid>
        <w:gridCol w:w="2808"/>
        <w:gridCol w:w="1037"/>
        <w:gridCol w:w="1819"/>
        <w:gridCol w:w="1104"/>
        <w:gridCol w:w="2808"/>
      </w:tblGrid>
      <w:tr w:rsidR="0014420F" w:rsidRPr="0014420F" w:rsidTr="00C95832">
        <w:trPr>
          <w:trHeight w:val="297"/>
        </w:trPr>
        <w:tc>
          <w:tcPr>
            <w:tcW w:w="2808" w:type="dxa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Total Number of Patients</w:t>
            </w:r>
          </w:p>
        </w:tc>
        <w:tc>
          <w:tcPr>
            <w:tcW w:w="1037" w:type="dxa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Year</w:t>
            </w:r>
          </w:p>
        </w:tc>
        <w:tc>
          <w:tcPr>
            <w:tcW w:w="1819" w:type="dxa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No. of Patients</w:t>
            </w:r>
          </w:p>
        </w:tc>
        <w:tc>
          <w:tcPr>
            <w:tcW w:w="1104" w:type="dxa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Normal</w:t>
            </w:r>
          </w:p>
        </w:tc>
        <w:tc>
          <w:tcPr>
            <w:tcW w:w="2808" w:type="dxa"/>
          </w:tcPr>
          <w:p w:rsidR="0014420F" w:rsidRPr="0014420F" w:rsidRDefault="0014420F" w:rsidP="00C95832">
            <w:pPr>
              <w:jc w:val="center"/>
              <w:rPr>
                <w:b/>
              </w:rPr>
            </w:pPr>
            <w:r w:rsidRPr="0014420F">
              <w:rPr>
                <w:b/>
              </w:rPr>
              <w:t>Encephalopathies</w:t>
            </w:r>
          </w:p>
        </w:tc>
      </w:tr>
      <w:tr w:rsidR="0014420F" w:rsidRPr="0014420F" w:rsidTr="00C95832">
        <w:trPr>
          <w:trHeight w:val="314"/>
        </w:trPr>
        <w:tc>
          <w:tcPr>
            <w:tcW w:w="2808" w:type="dxa"/>
            <w:vMerge w:val="restart"/>
          </w:tcPr>
          <w:p w:rsidR="0014420F" w:rsidRPr="0014420F" w:rsidRDefault="0014420F" w:rsidP="00C95832">
            <w:pPr>
              <w:jc w:val="center"/>
            </w:pPr>
            <w:r w:rsidRPr="0014420F">
              <w:t>100</w:t>
            </w:r>
          </w:p>
        </w:tc>
        <w:tc>
          <w:tcPr>
            <w:tcW w:w="1037" w:type="dxa"/>
          </w:tcPr>
          <w:p w:rsidR="0014420F" w:rsidRPr="0014420F" w:rsidRDefault="0014420F" w:rsidP="00C95832">
            <w:pPr>
              <w:jc w:val="center"/>
            </w:pPr>
            <w:r w:rsidRPr="0014420F">
              <w:t>2017</w:t>
            </w:r>
          </w:p>
        </w:tc>
        <w:tc>
          <w:tcPr>
            <w:tcW w:w="1819" w:type="dxa"/>
          </w:tcPr>
          <w:p w:rsidR="0014420F" w:rsidRPr="0014420F" w:rsidRDefault="0014420F" w:rsidP="00C95832">
            <w:pPr>
              <w:jc w:val="center"/>
            </w:pPr>
            <w:r w:rsidRPr="0014420F">
              <w:t>41</w:t>
            </w:r>
          </w:p>
        </w:tc>
        <w:tc>
          <w:tcPr>
            <w:tcW w:w="1104" w:type="dxa"/>
          </w:tcPr>
          <w:p w:rsidR="0014420F" w:rsidRPr="0014420F" w:rsidRDefault="0014420F" w:rsidP="00C95832">
            <w:pPr>
              <w:jc w:val="center"/>
            </w:pPr>
            <w:r w:rsidRPr="0014420F">
              <w:t>17</w:t>
            </w:r>
          </w:p>
        </w:tc>
        <w:tc>
          <w:tcPr>
            <w:tcW w:w="2808" w:type="dxa"/>
          </w:tcPr>
          <w:p w:rsidR="0014420F" w:rsidRPr="0014420F" w:rsidRDefault="0014420F" w:rsidP="00C95832">
            <w:pPr>
              <w:jc w:val="center"/>
            </w:pPr>
            <w:r w:rsidRPr="0014420F">
              <w:t>24</w:t>
            </w:r>
          </w:p>
        </w:tc>
      </w:tr>
      <w:tr w:rsidR="0014420F" w:rsidRPr="0014420F" w:rsidTr="00C95832">
        <w:trPr>
          <w:trHeight w:val="314"/>
        </w:trPr>
        <w:tc>
          <w:tcPr>
            <w:tcW w:w="2808" w:type="dxa"/>
            <w:vMerge/>
          </w:tcPr>
          <w:p w:rsidR="0014420F" w:rsidRPr="0014420F" w:rsidRDefault="0014420F" w:rsidP="00C95832">
            <w:pPr>
              <w:jc w:val="center"/>
            </w:pPr>
          </w:p>
        </w:tc>
        <w:tc>
          <w:tcPr>
            <w:tcW w:w="1037" w:type="dxa"/>
          </w:tcPr>
          <w:p w:rsidR="0014420F" w:rsidRPr="0014420F" w:rsidRDefault="0014420F" w:rsidP="00C95832">
            <w:pPr>
              <w:jc w:val="center"/>
            </w:pPr>
            <w:r w:rsidRPr="0014420F">
              <w:t>2018</w:t>
            </w:r>
          </w:p>
        </w:tc>
        <w:tc>
          <w:tcPr>
            <w:tcW w:w="1819" w:type="dxa"/>
          </w:tcPr>
          <w:p w:rsidR="0014420F" w:rsidRPr="0014420F" w:rsidRDefault="0014420F" w:rsidP="00C95832">
            <w:pPr>
              <w:jc w:val="center"/>
            </w:pPr>
            <w:r w:rsidRPr="0014420F">
              <w:t>59</w:t>
            </w:r>
          </w:p>
        </w:tc>
        <w:tc>
          <w:tcPr>
            <w:tcW w:w="1104" w:type="dxa"/>
          </w:tcPr>
          <w:p w:rsidR="0014420F" w:rsidRPr="0014420F" w:rsidRDefault="0014420F" w:rsidP="00C95832">
            <w:pPr>
              <w:jc w:val="center"/>
            </w:pPr>
            <w:r w:rsidRPr="0014420F">
              <w:t>21</w:t>
            </w:r>
          </w:p>
        </w:tc>
        <w:tc>
          <w:tcPr>
            <w:tcW w:w="2808" w:type="dxa"/>
          </w:tcPr>
          <w:p w:rsidR="0014420F" w:rsidRPr="0014420F" w:rsidRDefault="0014420F" w:rsidP="00C95832">
            <w:pPr>
              <w:jc w:val="center"/>
            </w:pPr>
            <w:r w:rsidRPr="0014420F">
              <w:t>38</w:t>
            </w:r>
          </w:p>
        </w:tc>
      </w:tr>
    </w:tbl>
    <w:p w:rsidR="00CF0CD0" w:rsidRPr="0014420F" w:rsidRDefault="00CF0CD0" w:rsidP="00BD0BA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F0CD0" w:rsidRPr="0014420F" w:rsidSect="002F2A09">
      <w:footerReference w:type="default" r:id="rId6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6979" w:rsidRDefault="00A46979" w:rsidP="004741D6">
      <w:pPr>
        <w:spacing w:after="0" w:line="240" w:lineRule="auto"/>
      </w:pPr>
      <w:r>
        <w:separator/>
      </w:r>
    </w:p>
  </w:endnote>
  <w:endnote w:type="continuationSeparator" w:id="1">
    <w:p w:rsidR="00A46979" w:rsidRDefault="00A46979" w:rsidP="00474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3247528"/>
      <w:docPartObj>
        <w:docPartGallery w:val="Page Numbers (Bottom of Page)"/>
        <w:docPartUnique/>
      </w:docPartObj>
    </w:sdtPr>
    <w:sdtContent>
      <w:p w:rsidR="00035886" w:rsidRDefault="00ED007E">
        <w:pPr>
          <w:pStyle w:val="Footer"/>
          <w:jc w:val="center"/>
        </w:pPr>
        <w:fldSimple w:instr=" PAGE   \* MERGEFORMAT ">
          <w:r w:rsidR="00E04E35">
            <w:rPr>
              <w:noProof/>
            </w:rPr>
            <w:t>7</w:t>
          </w:r>
        </w:fldSimple>
      </w:p>
    </w:sdtContent>
  </w:sdt>
  <w:p w:rsidR="00035886" w:rsidRDefault="0003588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6979" w:rsidRDefault="00A46979" w:rsidP="004741D6">
      <w:pPr>
        <w:spacing w:after="0" w:line="240" w:lineRule="auto"/>
      </w:pPr>
      <w:r>
        <w:separator/>
      </w:r>
    </w:p>
  </w:footnote>
  <w:footnote w:type="continuationSeparator" w:id="1">
    <w:p w:rsidR="00A46979" w:rsidRDefault="00A46979" w:rsidP="004741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F2A09"/>
    <w:rsid w:val="00006BF8"/>
    <w:rsid w:val="00035886"/>
    <w:rsid w:val="00045054"/>
    <w:rsid w:val="000815B0"/>
    <w:rsid w:val="00135155"/>
    <w:rsid w:val="0014420F"/>
    <w:rsid w:val="001724C3"/>
    <w:rsid w:val="001C03B5"/>
    <w:rsid w:val="002075EB"/>
    <w:rsid w:val="002359DA"/>
    <w:rsid w:val="002F2A09"/>
    <w:rsid w:val="00346104"/>
    <w:rsid w:val="0039757B"/>
    <w:rsid w:val="00416150"/>
    <w:rsid w:val="0045434C"/>
    <w:rsid w:val="00472E2E"/>
    <w:rsid w:val="004741D6"/>
    <w:rsid w:val="00514336"/>
    <w:rsid w:val="00636D2A"/>
    <w:rsid w:val="0066394B"/>
    <w:rsid w:val="00722189"/>
    <w:rsid w:val="00817AD0"/>
    <w:rsid w:val="00854919"/>
    <w:rsid w:val="008B05F6"/>
    <w:rsid w:val="008E1296"/>
    <w:rsid w:val="009970FB"/>
    <w:rsid w:val="00A46979"/>
    <w:rsid w:val="00A65948"/>
    <w:rsid w:val="00B07EDA"/>
    <w:rsid w:val="00BD0BA9"/>
    <w:rsid w:val="00C26464"/>
    <w:rsid w:val="00C50B16"/>
    <w:rsid w:val="00CD0415"/>
    <w:rsid w:val="00CF0CD0"/>
    <w:rsid w:val="00D77B95"/>
    <w:rsid w:val="00D917FF"/>
    <w:rsid w:val="00DA6180"/>
    <w:rsid w:val="00E04E35"/>
    <w:rsid w:val="00ED007E"/>
    <w:rsid w:val="00F00812"/>
    <w:rsid w:val="00F44D61"/>
    <w:rsid w:val="00F56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415"/>
  </w:style>
  <w:style w:type="paragraph" w:styleId="Heading1">
    <w:name w:val="heading 1"/>
    <w:basedOn w:val="Normal"/>
    <w:next w:val="Normal"/>
    <w:link w:val="Heading1Char"/>
    <w:uiPriority w:val="9"/>
    <w:qFormat/>
    <w:rsid w:val="00A659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594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74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41D6"/>
  </w:style>
  <w:style w:type="paragraph" w:styleId="Footer">
    <w:name w:val="footer"/>
    <w:basedOn w:val="Normal"/>
    <w:link w:val="FooterChar"/>
    <w:uiPriority w:val="99"/>
    <w:unhideWhenUsed/>
    <w:rsid w:val="004741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1D6"/>
  </w:style>
  <w:style w:type="paragraph" w:styleId="NoSpacing">
    <w:name w:val="No Spacing"/>
    <w:uiPriority w:val="1"/>
    <w:qFormat/>
    <w:rsid w:val="00A6594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A659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659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1442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7</Pages>
  <Words>2093</Words>
  <Characters>11935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2018-11-03T10:09:00Z</dcterms:created>
  <dcterms:modified xsi:type="dcterms:W3CDTF">2019-01-02T00:29:00Z</dcterms:modified>
</cp:coreProperties>
</file>