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446" w:rsidRPr="00195822" w:rsidRDefault="002C7C06">
      <w:pPr>
        <w:rPr>
          <w:lang w:val="en-GB"/>
        </w:rPr>
      </w:pPr>
      <w:r w:rsidRPr="00195822">
        <w:rPr>
          <w:lang w:val="en-GB"/>
        </w:rPr>
        <w:t>Coats’ disease: analysis of 68 patients (70 eyes)</w:t>
      </w:r>
    </w:p>
    <w:p w:rsidR="002C7C06" w:rsidRPr="00195822" w:rsidRDefault="002C7C06">
      <w:pPr>
        <w:rPr>
          <w:lang w:val="en-GB"/>
        </w:rPr>
      </w:pPr>
      <w:r w:rsidRPr="00195822">
        <w:rPr>
          <w:lang w:val="en-GB"/>
        </w:rPr>
        <w:t>Wojciech Hautz</w:t>
      </w:r>
    </w:p>
    <w:p w:rsidR="002C7C06" w:rsidRPr="00195822" w:rsidRDefault="002C7C06">
      <w:pPr>
        <w:rPr>
          <w:lang w:val="en-GB"/>
        </w:rPr>
      </w:pPr>
      <w:r w:rsidRPr="00195822">
        <w:rPr>
          <w:lang w:val="en-GB"/>
        </w:rPr>
        <w:t>Head of Ophthalmology Department</w:t>
      </w:r>
    </w:p>
    <w:p w:rsidR="002C7C06" w:rsidRPr="00195822" w:rsidRDefault="002C7C06">
      <w:pPr>
        <w:rPr>
          <w:lang w:val="en-GB"/>
        </w:rPr>
      </w:pPr>
      <w:r w:rsidRPr="00195822">
        <w:rPr>
          <w:lang w:val="en-GB"/>
        </w:rPr>
        <w:t xml:space="preserve">The </w:t>
      </w:r>
      <w:proofErr w:type="spellStart"/>
      <w:r w:rsidRPr="00195822">
        <w:rPr>
          <w:lang w:val="en-GB"/>
        </w:rPr>
        <w:t>Childrens</w:t>
      </w:r>
      <w:proofErr w:type="spellEnd"/>
      <w:r w:rsidRPr="00195822">
        <w:rPr>
          <w:lang w:val="en-GB"/>
        </w:rPr>
        <w:t>’ Memorial Health Institute,  Warsaw Poland</w:t>
      </w:r>
    </w:p>
    <w:p w:rsidR="002C7C06" w:rsidRPr="00195822" w:rsidRDefault="002C7C06">
      <w:pPr>
        <w:rPr>
          <w:lang w:val="en-GB"/>
        </w:rPr>
      </w:pPr>
    </w:p>
    <w:p w:rsidR="002C7C06" w:rsidRPr="00195822" w:rsidRDefault="002C7C06">
      <w:pPr>
        <w:rPr>
          <w:lang w:val="en-GB"/>
        </w:rPr>
      </w:pPr>
      <w:r w:rsidRPr="00195822">
        <w:rPr>
          <w:lang w:val="en-GB"/>
        </w:rPr>
        <w:t>Abstract</w:t>
      </w:r>
    </w:p>
    <w:p w:rsidR="00C96DAE" w:rsidRPr="00195822" w:rsidRDefault="00455A1B">
      <w:pPr>
        <w:rPr>
          <w:lang w:val="en-GB"/>
        </w:rPr>
      </w:pPr>
      <w:r>
        <w:rPr>
          <w:lang w:val="en-GB"/>
        </w:rPr>
        <w:t>Coat</w:t>
      </w:r>
      <w:r w:rsidR="00C96DAE" w:rsidRPr="00195822">
        <w:rPr>
          <w:lang w:val="en-GB"/>
        </w:rPr>
        <w:t>s</w:t>
      </w:r>
      <w:r>
        <w:rPr>
          <w:lang w:val="en-GB"/>
        </w:rPr>
        <w:t>’</w:t>
      </w:r>
      <w:bookmarkStart w:id="0" w:name="_GoBack"/>
      <w:bookmarkEnd w:id="0"/>
      <w:r w:rsidR="00C96DAE" w:rsidRPr="00195822">
        <w:rPr>
          <w:lang w:val="en-GB"/>
        </w:rPr>
        <w:t xml:space="preserve"> disease</w:t>
      </w:r>
      <w:r w:rsidR="00195822">
        <w:rPr>
          <w:lang w:val="en-GB"/>
        </w:rPr>
        <w:t xml:space="preserve"> is a rare, </w:t>
      </w:r>
      <w:proofErr w:type="spellStart"/>
      <w:r w:rsidR="00195822">
        <w:rPr>
          <w:lang w:val="en-GB"/>
        </w:rPr>
        <w:t>idiopatic</w:t>
      </w:r>
      <w:proofErr w:type="spellEnd"/>
      <w:r w:rsidR="00195822">
        <w:rPr>
          <w:lang w:val="en-GB"/>
        </w:rPr>
        <w:t xml:space="preserve"> illness cau</w:t>
      </w:r>
      <w:r w:rsidR="00C96DAE" w:rsidRPr="00195822">
        <w:rPr>
          <w:lang w:val="en-GB"/>
        </w:rPr>
        <w:t xml:space="preserve">sed by a presence of </w:t>
      </w:r>
      <w:proofErr w:type="spellStart"/>
      <w:r w:rsidR="00C96DAE" w:rsidRPr="00195822">
        <w:rPr>
          <w:lang w:val="en-GB"/>
        </w:rPr>
        <w:t>teleangiectatic</w:t>
      </w:r>
      <w:proofErr w:type="spellEnd"/>
      <w:r w:rsidR="00C96DAE" w:rsidRPr="00195822">
        <w:rPr>
          <w:lang w:val="en-GB"/>
        </w:rPr>
        <w:t xml:space="preserve"> – abnormal retinal vessels. Untreated may lead to retinal detachment, cataract and secondary glaucoma or even atrophy of the eye. </w:t>
      </w:r>
    </w:p>
    <w:p w:rsidR="00C96DAE" w:rsidRPr="00195822" w:rsidRDefault="00C96DAE">
      <w:pPr>
        <w:rPr>
          <w:lang w:val="en-GB"/>
        </w:rPr>
      </w:pPr>
      <w:r w:rsidRPr="00195822">
        <w:rPr>
          <w:lang w:val="en-GB"/>
        </w:rPr>
        <w:t>Aim of the study is to determinate the most common diagnostic problems and evaluation of clinical response to the treatment of Coats’ disease in ch</w:t>
      </w:r>
      <w:r w:rsidR="00195822">
        <w:rPr>
          <w:lang w:val="en-GB"/>
        </w:rPr>
        <w:t>il</w:t>
      </w:r>
      <w:r w:rsidRPr="00195822">
        <w:rPr>
          <w:lang w:val="en-GB"/>
        </w:rPr>
        <w:t>dren</w:t>
      </w:r>
    </w:p>
    <w:p w:rsidR="00C96DAE" w:rsidRDefault="00C96DAE">
      <w:pPr>
        <w:rPr>
          <w:lang w:val="en-GB"/>
        </w:rPr>
      </w:pPr>
      <w:r w:rsidRPr="00195822">
        <w:rPr>
          <w:lang w:val="en-GB"/>
        </w:rPr>
        <w:t>Material and methods: the examined group cons</w:t>
      </w:r>
      <w:r w:rsidR="002A69E0" w:rsidRPr="00195822">
        <w:rPr>
          <w:lang w:val="en-GB"/>
        </w:rPr>
        <w:t>tituted 68 patients (70 eyes). All patients were Ca</w:t>
      </w:r>
      <w:r w:rsidR="00195822">
        <w:rPr>
          <w:lang w:val="en-GB"/>
        </w:rPr>
        <w:t>ucasian, the vast majority of t</w:t>
      </w:r>
      <w:r w:rsidR="002A69E0" w:rsidRPr="00195822">
        <w:rPr>
          <w:lang w:val="en-GB"/>
        </w:rPr>
        <w:t>hem were boys (83,8%) in 2,9%  disease was bilateral.</w:t>
      </w:r>
      <w:r w:rsidR="008B5568">
        <w:rPr>
          <w:lang w:val="en-GB"/>
        </w:rPr>
        <w:t xml:space="preserve"> Examinations allowing to recognize disease were indirect ophthalmoscopy and USG. The choice of treatment method depended on a clinical condition: extensity and location of abnormal vessels. Cryotherapy, </w:t>
      </w:r>
      <w:proofErr w:type="spellStart"/>
      <w:r w:rsidR="008B5568">
        <w:rPr>
          <w:lang w:val="en-GB"/>
        </w:rPr>
        <w:t>transpupillary</w:t>
      </w:r>
      <w:proofErr w:type="spellEnd"/>
      <w:r w:rsidR="008B5568">
        <w:rPr>
          <w:lang w:val="en-GB"/>
        </w:rPr>
        <w:t xml:space="preserve"> laser hyperthermia and </w:t>
      </w:r>
      <w:proofErr w:type="spellStart"/>
      <w:r w:rsidR="008B5568">
        <w:rPr>
          <w:lang w:val="en-GB"/>
        </w:rPr>
        <w:t>anty</w:t>
      </w:r>
      <w:proofErr w:type="spellEnd"/>
      <w:r w:rsidR="008B5568">
        <w:rPr>
          <w:lang w:val="en-GB"/>
        </w:rPr>
        <w:t>-VEGF injections were used. A mean time of observation was 41 months.</w:t>
      </w:r>
    </w:p>
    <w:p w:rsidR="008B5568" w:rsidRPr="00195822" w:rsidRDefault="008B5568">
      <w:pPr>
        <w:rPr>
          <w:lang w:val="en-GB"/>
        </w:rPr>
      </w:pPr>
      <w:r>
        <w:rPr>
          <w:lang w:val="en-GB"/>
        </w:rPr>
        <w:t>Results: The mean age, at which the patients were diagnosed was 80 months. A hearing impairment was additionally noted in 4 patients (5,9%).</w:t>
      </w:r>
      <w:r w:rsidR="00C63D97">
        <w:rPr>
          <w:lang w:val="en-GB"/>
        </w:rPr>
        <w:t xml:space="preserve"> The most commonly observed first symptoms was  decreased vision (42,6%), squint (32,4%) and </w:t>
      </w:r>
      <w:proofErr w:type="spellStart"/>
      <w:r w:rsidR="00C63D97">
        <w:rPr>
          <w:lang w:val="en-GB"/>
        </w:rPr>
        <w:t>leucocoria</w:t>
      </w:r>
      <w:proofErr w:type="spellEnd"/>
      <w:r w:rsidR="00C63D97">
        <w:rPr>
          <w:lang w:val="en-GB"/>
        </w:rPr>
        <w:t xml:space="preserve"> (14,7%).  The most common improper  diagnosis confirmed by  local doctors was retinoblastoma. The biggest diagnostic problems were with patients with stage 3B (Shields</w:t>
      </w:r>
      <w:r w:rsidR="00B85DC5">
        <w:rPr>
          <w:lang w:val="en-GB"/>
        </w:rPr>
        <w:t>’</w:t>
      </w:r>
      <w:r w:rsidR="00C63D97">
        <w:rPr>
          <w:lang w:val="en-GB"/>
        </w:rPr>
        <w:t xml:space="preserve"> classification)</w:t>
      </w:r>
      <w:r w:rsidR="00E646DB" w:rsidRPr="00E646DB">
        <w:rPr>
          <w:lang w:val="en-GB"/>
        </w:rPr>
        <w:t xml:space="preserve"> </w:t>
      </w:r>
      <w:r w:rsidR="00E646DB">
        <w:rPr>
          <w:lang w:val="en-GB"/>
        </w:rPr>
        <w:t>– complete retinal detachment</w:t>
      </w:r>
      <w:r w:rsidR="00C63D97">
        <w:rPr>
          <w:lang w:val="en-GB"/>
        </w:rPr>
        <w:t>.</w:t>
      </w:r>
      <w:r w:rsidR="00E646DB">
        <w:rPr>
          <w:lang w:val="en-GB"/>
        </w:rPr>
        <w:t xml:space="preserve"> As a result of the conducted treatment the improvement of visual acuity was  achieved in 39,2% of eyes, stabilisation in 33,3% and deterioration in 27,5% of eyes. A statistically significant relationship was found between a baseline di</w:t>
      </w:r>
      <w:r w:rsidR="004564B5">
        <w:rPr>
          <w:lang w:val="en-GB"/>
        </w:rPr>
        <w:t>sease chara</w:t>
      </w:r>
      <w:r w:rsidR="00E646DB">
        <w:rPr>
          <w:lang w:val="en-GB"/>
        </w:rPr>
        <w:t xml:space="preserve">cteristics </w:t>
      </w:r>
      <w:r w:rsidR="004564B5">
        <w:rPr>
          <w:lang w:val="en-GB"/>
        </w:rPr>
        <w:t xml:space="preserve"> and a final anatomical effect and between the expanse of abnormal vessels area and a final anatomical effects. The best results were achi</w:t>
      </w:r>
      <w:r w:rsidR="00B85DC5">
        <w:rPr>
          <w:lang w:val="en-GB"/>
        </w:rPr>
        <w:t>e</w:t>
      </w:r>
      <w:r w:rsidR="004564B5">
        <w:rPr>
          <w:lang w:val="en-GB"/>
        </w:rPr>
        <w:t>ved in patients with early stages of the</w:t>
      </w:r>
      <w:r w:rsidR="00B85DC5">
        <w:rPr>
          <w:lang w:val="en-GB"/>
        </w:rPr>
        <w:t xml:space="preserve"> disease (1 and 2 Shields’ classi</w:t>
      </w:r>
      <w:r w:rsidR="004564B5">
        <w:rPr>
          <w:lang w:val="en-GB"/>
        </w:rPr>
        <w:t>fica</w:t>
      </w:r>
      <w:r w:rsidR="00B85DC5">
        <w:rPr>
          <w:lang w:val="en-GB"/>
        </w:rPr>
        <w:t>t</w:t>
      </w:r>
      <w:r w:rsidR="004564B5">
        <w:rPr>
          <w:lang w:val="en-GB"/>
        </w:rPr>
        <w:t>ion) and with a smaller  expanse</w:t>
      </w:r>
      <w:r w:rsidR="00B85DC5">
        <w:rPr>
          <w:lang w:val="en-GB"/>
        </w:rPr>
        <w:t xml:space="preserve"> of abnormal vessels area (1-2 clock hours).</w:t>
      </w:r>
    </w:p>
    <w:sectPr w:rsidR="008B5568" w:rsidRPr="0019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C6"/>
    <w:rsid w:val="0001547F"/>
    <w:rsid w:val="00195822"/>
    <w:rsid w:val="002A69E0"/>
    <w:rsid w:val="002C7C06"/>
    <w:rsid w:val="00455A1B"/>
    <w:rsid w:val="004564B5"/>
    <w:rsid w:val="008B5568"/>
    <w:rsid w:val="00B85DC5"/>
    <w:rsid w:val="00B962F1"/>
    <w:rsid w:val="00C33446"/>
    <w:rsid w:val="00C63D97"/>
    <w:rsid w:val="00C96DAE"/>
    <w:rsid w:val="00E646DB"/>
    <w:rsid w:val="00F3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4583"/>
  <w15:chartTrackingRefBased/>
  <w15:docId w15:val="{AA6FD4ED-B41A-46DF-9F62-C2E022D5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69053-A06B-453C-B57A-7E9182BE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291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"Pomnik - Centrum Zdrowia Dziecka"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Hautz</dc:creator>
  <cp:keywords/>
  <dc:description/>
  <cp:lastModifiedBy>Wojciech Hautz</cp:lastModifiedBy>
  <cp:revision>4</cp:revision>
  <dcterms:created xsi:type="dcterms:W3CDTF">2021-11-25T08:46:00Z</dcterms:created>
  <dcterms:modified xsi:type="dcterms:W3CDTF">2021-11-25T10:01:00Z</dcterms:modified>
</cp:coreProperties>
</file>