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Body"/>
        <w:spacing w:line="360" w:lineRule="auto"/>
        <w:rPr>
          <w:b w:val="1"/>
          <w:bCs w:val="1"/>
        </w:rPr>
      </w:pPr>
      <w:r>
        <w:rPr>
          <w:b w:val="1"/>
          <w:bCs w:val="1"/>
          <w:rtl w:val="0"/>
          <w:lang w:val="en-US"/>
        </w:rPr>
        <w:t xml:space="preserve">Title </w:t>
      </w:r>
    </w:p>
    <w:p>
      <w:pPr>
        <w:pStyle w:val="Body"/>
        <w:spacing w:line="360" w:lineRule="auto"/>
      </w:pPr>
      <w:r>
        <w:rPr>
          <w:rtl w:val="0"/>
          <w:lang w:val="en-US"/>
        </w:rPr>
        <w:t xml:space="preserve">See-saw nystagmus caused by an optic nerve glioma: case report </w:t>
      </w:r>
    </w:p>
    <w:p>
      <w:pPr>
        <w:pStyle w:val="Body"/>
        <w:spacing w:line="360" w:lineRule="auto"/>
      </w:pPr>
    </w:p>
    <w:p>
      <w:pPr>
        <w:pStyle w:val="Body"/>
        <w:spacing w:line="360" w:lineRule="auto"/>
      </w:pPr>
      <w:r>
        <w:rPr>
          <w:rtl w:val="0"/>
          <w:lang w:val="en-US"/>
        </w:rPr>
        <w:t>Aisling McGlacken-Byrne, MSc MB BAO, Lions Eye Institute, Nedlands, Perth, WA</w:t>
      </w:r>
    </w:p>
    <w:p>
      <w:pPr>
        <w:pStyle w:val="Body"/>
        <w:spacing w:line="360" w:lineRule="auto"/>
      </w:pPr>
    </w:p>
    <w:p>
      <w:pPr>
        <w:pStyle w:val="Body"/>
        <w:spacing w:line="360" w:lineRule="auto"/>
        <w:rPr>
          <w:b w:val="1"/>
          <w:bCs w:val="1"/>
        </w:rPr>
      </w:pPr>
      <w:r>
        <w:rPr>
          <w:b w:val="1"/>
          <w:bCs w:val="1"/>
          <w:rtl w:val="0"/>
          <w:lang w:val="en-US"/>
        </w:rPr>
        <w:t>Abstract (300)</w:t>
      </w:r>
    </w:p>
    <w:p>
      <w:pPr>
        <w:pStyle w:val="Body"/>
        <w:spacing w:line="360" w:lineRule="auto"/>
      </w:pPr>
    </w:p>
    <w:p>
      <w:pPr>
        <w:pStyle w:val="Body"/>
        <w:spacing w:line="360" w:lineRule="auto"/>
      </w:pPr>
      <w:r>
        <w:rPr>
          <w:rtl w:val="0"/>
          <w:lang w:val="en-US"/>
        </w:rPr>
        <w:t xml:space="preserve">Gliomas are the most common paediatric tumours of the central nervous system, exhibiting a broad range of clinical behaviours depending on origin, size and pathological subgroup. </w:t>
      </w:r>
    </w:p>
    <w:p>
      <w:pPr>
        <w:pStyle w:val="Body"/>
        <w:spacing w:line="360" w:lineRule="auto"/>
      </w:pPr>
      <w:r>
        <w:rPr>
          <w:rtl w:val="0"/>
          <w:lang w:val="en-US"/>
        </w:rPr>
        <w:t xml:space="preserve">Knowledge of current and evolving advances in molecular characterisation of this tumour is needed to ensure effective management. A 2-year-old boy presented with nystagmus since 10 months of age. Parents described initially left eye moving horizontally then right eye moving horizontally, then both with a vertical component. Poor vision was reported, with running into objects and difficulty recognising people far away. He was otherwise well, normal term vaginal delivery and reaching developmental milestones. On examination the boy had high frequency, small amplitude see-saw nystagmus. It had no null point and no change with convergence or fixation. He had no anomalous head position and a normal red reflex with clear corneas. Dilated exam under general anaesthetic revealed left subtle nerve pallor and atrophy. Magnetic resonance imaging revealed a large optic nerve glioma originating from the optic nerve chiasm, spreading anteriorly and posteriorly. </w:t>
      </w:r>
    </w:p>
    <w:p>
      <w:pPr>
        <w:pStyle w:val="Body"/>
        <w:spacing w:line="360" w:lineRule="auto"/>
      </w:pPr>
      <w:r>
        <w:rPr>
          <w:rtl w:val="0"/>
          <w:lang w:val="en-US"/>
        </w:rPr>
        <w:t xml:space="preserve">Our case documents see-saw nystagmus in a patient with likely bi-temporal hemianopia due to a large tumour but without mesencephalic compression or CSF dissemination. Because preschool children rarely complain about poor vision, by the time symptoms manifests, the disorders of vision have already progressed. Early diagnosis is paramount in diagnosing these often silently enlarging optic pathway gliomas. </w:t>
      </w:r>
    </w:p>
    <w:p>
      <w:pPr>
        <w:pStyle w:val="Body"/>
        <w:spacing w:line="360" w:lineRule="auto"/>
      </w:pPr>
    </w:p>
    <w:p>
      <w:pPr>
        <w:pStyle w:val="Body"/>
        <w:spacing w:line="360" w:lineRule="auto"/>
        <w:rPr>
          <w:b w:val="1"/>
          <w:bCs w:val="1"/>
        </w:rPr>
      </w:pPr>
      <w:r>
        <w:rPr>
          <w:b w:val="1"/>
          <w:bCs w:val="1"/>
          <w:rtl w:val="0"/>
          <w:lang w:val="en-US"/>
        </w:rPr>
        <w:t>Recent Publications (5)</w:t>
      </w:r>
    </w:p>
    <w:p>
      <w:pPr>
        <w:pStyle w:val="Body"/>
        <w:spacing w:line="360" w:lineRule="auto"/>
      </w:pPr>
    </w:p>
    <w:p>
      <w:pPr>
        <w:pStyle w:val="Body"/>
        <w:spacing w:line="360" w:lineRule="auto"/>
      </w:pPr>
      <w:r>
        <w:rPr>
          <w:rtl w:val="0"/>
          <w:lang w:val="en-US"/>
        </w:rPr>
        <w:t>“</w:t>
      </w:r>
      <w:r>
        <w:rPr>
          <w:rtl w:val="0"/>
          <w:lang w:val="en-US"/>
        </w:rPr>
        <w:t>Review of cataract surgery in rural north Western Australia</w:t>
      </w:r>
      <w:r>
        <w:rPr>
          <w:rtl w:val="0"/>
          <w:lang w:val="en-US"/>
        </w:rPr>
        <w:t xml:space="preserve"> </w:t>
      </w:r>
      <w:r>
        <w:rPr>
          <w:rtl w:val="0"/>
          <w:lang w:val="en-US"/>
        </w:rPr>
        <w:t>with the Lions Outback Vision"</w:t>
      </w:r>
    </w:p>
    <w:p>
      <w:pPr>
        <w:pStyle w:val="Body"/>
        <w:spacing w:line="360" w:lineRule="auto"/>
      </w:pPr>
      <w:r>
        <w:rPr>
          <w:rtl w:val="0"/>
          <w:lang w:val="de-DE"/>
        </w:rPr>
        <w:t>Aisling Mc Glacken-Byrne, MB BCh BAO, A/Prof Angus Turner, MBBS, FRANZCO</w:t>
      </w:r>
    </w:p>
    <w:p>
      <w:pPr>
        <w:pStyle w:val="Body"/>
        <w:spacing w:line="360" w:lineRule="auto"/>
      </w:pPr>
      <w:r>
        <w:rPr>
          <w:rtl w:val="0"/>
          <w:lang w:val="en-US"/>
        </w:rPr>
        <w:t>Clin Exp Ophthalmol.</w:t>
      </w:r>
      <w:r>
        <w:rPr>
          <w:rtl w:val="0"/>
        </w:rPr>
        <w:t> </w:t>
      </w:r>
      <w:r>
        <w:rPr>
          <w:rtl w:val="0"/>
        </w:rPr>
        <w:t>2019</w:t>
      </w:r>
      <w:r>
        <w:rPr>
          <w:rtl w:val="0"/>
          <w:lang w:val="en-US"/>
        </w:rPr>
        <w:t xml:space="preserve"> </w:t>
      </w:r>
      <w:r>
        <w:rPr>
          <w:rtl w:val="0"/>
        </w:rPr>
        <w:t>Aug;47(6):802-803</w:t>
      </w:r>
    </w:p>
    <w:p>
      <w:pPr>
        <w:pStyle w:val="Body"/>
        <w:spacing w:line="360" w:lineRule="auto"/>
      </w:pPr>
    </w:p>
    <w:p>
      <w:pPr>
        <w:pStyle w:val="Body"/>
        <w:spacing w:line="360" w:lineRule="auto"/>
      </w:pPr>
      <w:r>
        <w:rPr>
          <w:rtl w:val="0"/>
          <w:lang w:val="en-US"/>
        </w:rPr>
        <w:t>"Pterygium in rural Western Australia: demographic profile and refractive status of Aboriginal</w:t>
      </w:r>
    </w:p>
    <w:p>
      <w:pPr>
        <w:pStyle w:val="Body"/>
        <w:spacing w:line="360" w:lineRule="auto"/>
      </w:pPr>
      <w:r>
        <w:rPr>
          <w:rtl w:val="0"/>
          <w:lang w:val="en-US"/>
        </w:rPr>
        <w:t>and non-Aboriginal individuals with pterygium"</w:t>
      </w:r>
    </w:p>
    <w:p>
      <w:pPr>
        <w:pStyle w:val="Body"/>
        <w:spacing w:line="360" w:lineRule="auto"/>
      </w:pPr>
      <w:r>
        <w:rPr>
          <w:rtl w:val="0"/>
          <w:lang w:val="de-DE"/>
        </w:rPr>
        <w:t>Aisling Mc Glacken-Byrne, MB BCh BAO, A/Prof Angus Turner, MBBS, FRANZCO</w:t>
      </w:r>
    </w:p>
    <w:p>
      <w:pPr>
        <w:pStyle w:val="Body"/>
        <w:spacing w:line="360" w:lineRule="auto"/>
      </w:pPr>
      <w:r>
        <w:rPr>
          <w:rtl w:val="0"/>
          <w:lang w:val="en-US"/>
        </w:rPr>
        <w:t>Clinical and Experimental Ophthalmology: Wiley Online Library, 2018</w:t>
      </w:r>
    </w:p>
    <w:p>
      <w:pPr>
        <w:pStyle w:val="Body"/>
        <w:spacing w:line="360" w:lineRule="auto"/>
      </w:pPr>
      <w:r>
        <w:rPr>
          <w:rtl w:val="0"/>
        </w:rPr>
        <w:t>Volume 46, Supplement 1, November 2018</w:t>
      </w:r>
    </w:p>
    <w:p>
      <w:pPr>
        <w:pStyle w:val="Body"/>
        <w:spacing w:line="360" w:lineRule="auto"/>
      </w:pPr>
    </w:p>
    <w:p>
      <w:pPr>
        <w:pStyle w:val="Body"/>
        <w:spacing w:line="360" w:lineRule="auto"/>
      </w:pPr>
      <w:r>
        <w:rPr>
          <w:rtl w:val="0"/>
        </w:rPr>
        <w:t>“</w:t>
      </w:r>
      <w:r>
        <w:rPr>
          <w:rtl w:val="0"/>
          <w:lang w:val="en-US"/>
        </w:rPr>
        <w:t>The patients perspective: A Vision Van Video</w:t>
      </w:r>
      <w:r>
        <w:rPr>
          <w:rtl w:val="0"/>
        </w:rPr>
        <w:t>“</w:t>
      </w:r>
    </w:p>
    <w:p>
      <w:pPr>
        <w:pStyle w:val="Body"/>
        <w:spacing w:line="360" w:lineRule="auto"/>
      </w:pPr>
      <w:r>
        <w:rPr>
          <w:rtl w:val="0"/>
          <w:lang w:val="de-DE"/>
        </w:rPr>
        <w:t>Aisling Mc Glacken-Byrne, MB BCh BAO, A/Prof Angus Turner, MBBS, FRANZCO</w:t>
      </w:r>
    </w:p>
    <w:p>
      <w:pPr>
        <w:pStyle w:val="Body"/>
        <w:spacing w:line="360" w:lineRule="auto"/>
      </w:pPr>
      <w:r>
        <w:rPr>
          <w:rtl w:val="0"/>
          <w:lang w:val="en-US"/>
        </w:rPr>
        <w:t>Clinical and Experimental Ophthalmology: Wiley Online Library, 2018</w:t>
      </w:r>
    </w:p>
    <w:p>
      <w:pPr>
        <w:pStyle w:val="Body"/>
        <w:spacing w:line="360" w:lineRule="auto"/>
      </w:pPr>
      <w:r>
        <w:rPr>
          <w:rtl w:val="0"/>
        </w:rPr>
        <w:t>Volume 46, Supplement 1, November 2018</w:t>
      </w:r>
    </w:p>
    <w:p>
      <w:pPr>
        <w:pStyle w:val="Body"/>
        <w:spacing w:line="360" w:lineRule="auto"/>
      </w:pPr>
    </w:p>
    <w:p>
      <w:pPr>
        <w:pStyle w:val="Body"/>
        <w:spacing w:line="360" w:lineRule="auto"/>
      </w:pPr>
      <w:r>
        <w:rPr>
          <w:rtl w:val="0"/>
        </w:rPr>
        <w:t>“</w:t>
      </w:r>
      <w:r>
        <w:rPr>
          <w:rtl w:val="0"/>
          <w:lang w:val="en-US"/>
        </w:rPr>
        <w:t>Multimodal imaging and longitudinal follow-up of pattern dystrophy due to OTX2 mutation</w:t>
      </w:r>
      <w:r>
        <w:rPr>
          <w:rtl w:val="0"/>
        </w:rPr>
        <w:t>”</w:t>
      </w:r>
    </w:p>
    <w:p>
      <w:pPr>
        <w:pStyle w:val="Body"/>
        <w:spacing w:line="360" w:lineRule="auto"/>
      </w:pPr>
      <w:r>
        <w:rPr>
          <w:rtl w:val="0"/>
          <w:lang w:val="de-DE"/>
        </w:rPr>
        <w:t>Aisling Mc Glacken-Byrne MB BCh BAO, Fred Kuanfu Chen, MBBS, PhD, FRANZCO</w:t>
      </w:r>
    </w:p>
    <w:p>
      <w:pPr>
        <w:pStyle w:val="Body"/>
        <w:spacing w:line="360" w:lineRule="auto"/>
      </w:pPr>
      <w:r>
        <w:rPr>
          <w:rtl w:val="0"/>
          <w:lang w:val="en-US"/>
        </w:rPr>
        <w:t>Irish Journal of Medical Science Volume 187 Issue 6, June 2018</w:t>
      </w:r>
    </w:p>
    <w:p>
      <w:pPr>
        <w:pStyle w:val="Body"/>
        <w:spacing w:line="360" w:lineRule="auto"/>
      </w:pPr>
    </w:p>
    <w:p>
      <w:pPr>
        <w:pStyle w:val="Body"/>
        <w:spacing w:line="360" w:lineRule="auto"/>
      </w:pPr>
      <w:r>
        <w:rPr>
          <w:rtl w:val="0"/>
        </w:rPr>
        <w:t>“</w:t>
      </w:r>
      <w:r>
        <w:rPr>
          <w:rtl w:val="0"/>
          <w:lang w:val="en-US"/>
        </w:rPr>
        <w:t>Capnocytophaga Canimorsus: an Unusual Etiology for Septicemia"</w:t>
      </w:r>
    </w:p>
    <w:p>
      <w:pPr>
        <w:pStyle w:val="Body"/>
        <w:spacing w:line="360" w:lineRule="auto"/>
      </w:pPr>
      <w:r>
        <w:rPr>
          <w:rtl w:val="0"/>
        </w:rPr>
        <w:t>Aisling Mc Glacken-Byrne MB BCh BAO, Dermot O</w:t>
      </w:r>
      <w:r>
        <w:rPr>
          <w:rtl w:val="0"/>
        </w:rPr>
        <w:t>’</w:t>
      </w:r>
      <w:r>
        <w:rPr>
          <w:rtl w:val="0"/>
          <w:lang w:val="en-US"/>
        </w:rPr>
        <w:t>Callaghan, MBBS</w:t>
      </w:r>
    </w:p>
    <w:p>
      <w:pPr>
        <w:pStyle w:val="Body"/>
        <w:spacing w:line="360" w:lineRule="auto"/>
      </w:pPr>
      <w:r>
        <w:rPr>
          <w:rtl w:val="0"/>
          <w:lang w:val="en-US"/>
        </w:rPr>
        <w:t>Irish Journal of Medical Science Volume 184 Issue 7, January 2015</w:t>
      </w:r>
    </w:p>
    <w:p>
      <w:pPr>
        <w:pStyle w:val="Body"/>
        <w:spacing w:line="360" w:lineRule="auto"/>
      </w:pPr>
    </w:p>
    <w:p>
      <w:pPr>
        <w:pStyle w:val="Body"/>
        <w:spacing w:line="360" w:lineRule="auto"/>
        <w:rPr>
          <w:b w:val="1"/>
          <w:bCs w:val="1"/>
        </w:rPr>
      </w:pPr>
      <w:r>
        <w:rPr>
          <w:b w:val="1"/>
          <w:bCs w:val="1"/>
          <w:rtl w:val="0"/>
          <w:lang w:val="en-US"/>
        </w:rPr>
        <w:t>Biography (150)</w:t>
      </w:r>
    </w:p>
    <w:p>
      <w:pPr>
        <w:pStyle w:val="Body"/>
        <w:rPr>
          <w:rFonts w:ascii="Times New Roman" w:cs="Times New Roman" w:hAnsi="Times New Roman" w:eastAsia="Times New Roman"/>
          <w:sz w:val="24"/>
          <w:szCs w:val="24"/>
        </w:rPr>
      </w:pPr>
    </w:p>
    <w:p>
      <w:pPr>
        <w:pStyle w:val="Body"/>
      </w:pPr>
      <w:r>
        <w:rPr>
          <w:rFonts w:ascii="Times New Roman" w:hAnsi="Times New Roman"/>
          <w:sz w:val="24"/>
          <w:szCs w:val="24"/>
          <w:rtl w:val="0"/>
          <w:lang w:val="en-US"/>
        </w:rPr>
        <w:t xml:space="preserve">Aisling McGlacken-Byrne is currently a Senior House Officer in her first year as an </w:t>
      </w:r>
      <w:r>
        <w:rPr>
          <w:rFonts w:ascii="Times New Roman" w:hAnsi="Times New Roman"/>
          <w:sz w:val="24"/>
          <w:szCs w:val="24"/>
          <w:rtl w:val="0"/>
          <w:lang w:val="en-US"/>
        </w:rPr>
        <w:t>Ophthalmology</w:t>
      </w:r>
      <w:r>
        <w:rPr>
          <w:rFonts w:ascii="Times New Roman" w:hAnsi="Times New Roman"/>
          <w:sz w:val="24"/>
          <w:szCs w:val="24"/>
          <w:rtl w:val="0"/>
          <w:lang w:val="en-US"/>
        </w:rPr>
        <w:t xml:space="preserve"> Surgical Trainee in Sligo University Hospital. Special interests include rural and remote medicine and health inequity. Her previous employment was as a resident with the Lions Outback Vision Van, part of the Lions Eye Institute. </w:t>
      </w:r>
      <w:r>
        <w:rPr>
          <w:rFonts w:ascii="Times New Roman" w:hAnsi="Times New Roman"/>
          <w:sz w:val="24"/>
          <w:szCs w:val="24"/>
          <w:rtl w:val="0"/>
          <w:lang w:val="en-US"/>
        </w:rPr>
        <w:t>The Lions Outback Vision Van is a mobile eye health clinic launched in 2016 which travels around</w:t>
      </w:r>
      <w:r>
        <w:rPr>
          <w:rFonts w:ascii="Times New Roman" w:hAnsi="Times New Roman"/>
          <w:sz w:val="24"/>
          <w:szCs w:val="24"/>
          <w:rtl w:val="0"/>
          <w:lang w:val="en-US"/>
        </w:rPr>
        <w:t xml:space="preserve"> </w:t>
      </w:r>
      <w:r>
        <w:rPr>
          <w:rFonts w:ascii="Times New Roman" w:hAnsi="Times New Roman"/>
          <w:sz w:val="24"/>
          <w:szCs w:val="24"/>
          <w:rtl w:val="0"/>
          <w:lang w:val="en-US"/>
        </w:rPr>
        <w:t>Western Australia providing specialist eye health services to remote communities.</w:t>
      </w:r>
      <w:r>
        <w:rPr>
          <w:rFonts w:ascii="Times New Roman" w:hAnsi="Times New Roman"/>
          <w:sz w:val="24"/>
          <w:szCs w:val="24"/>
          <w:rtl w:val="0"/>
          <w:lang w:val="en-US"/>
        </w:rPr>
        <w:t xml:space="preserve"> </w:t>
      </w:r>
    </w:p>
    <w:sectPr>
      <w:headerReference w:type="default" r:id="rId4"/>
      <w:footerReference w:type="default" r:id="rId5"/>
      <w:pgSz w:w="11906" w:h="16838" w:orient="portrait"/>
      <w:pgMar w:top="1134" w:right="1134" w:bottom="1134" w:left="1134" w:header="709" w:footer="850"/>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r/>
  </w:p>
</w:hdr>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Body">
    <w:name w:val="Body"/>
    <w:next w:val="Body"/>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2"/>
      <w:szCs w:val="22"/>
      <w:u w:val="none"/>
      <w:vertAlign w:val="baseline"/>
      <w:lang w:val="en-US"/>
      <w14:textOutline>
        <w14:noFill/>
      </w14:textOutline>
      <w14:textFill>
        <w14:solidFill>
          <w14:srgbClr w14:val="000000"/>
        </w14:solidFill>
      </w14:textFill>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Blank">
  <a:themeElements>
    <a:clrScheme name="Blank">
      <a:dk1>
        <a:srgbClr val="000000"/>
      </a:dk1>
      <a:lt1>
        <a:srgbClr val="FFFFFF"/>
      </a:lt1>
      <a:dk2>
        <a:srgbClr val="5E5E5E"/>
      </a:dk2>
      <a:lt2>
        <a:srgbClr val="D6D5D5"/>
      </a:lt2>
      <a:accent1>
        <a:srgbClr val="00A2FF"/>
      </a:accent1>
      <a:accent2>
        <a:srgbClr val="16E7CF"/>
      </a:accent2>
      <a:accent3>
        <a:srgbClr val="61D836"/>
      </a:accent3>
      <a:accent4>
        <a:srgbClr val="FAE232"/>
      </a:accent4>
      <a:accent5>
        <a:srgbClr val="FF644E"/>
      </a:accent5>
      <a:accent6>
        <a:srgbClr val="EF5FA7"/>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chemeClr val="accent1"/>
        </a:solidFill>
        <a:ln w="12700" cap="flat">
          <a:noFill/>
          <a:miter lim="400000"/>
        </a:ln>
        <a:effectLst/>
        <a:sp3d/>
      </a:spPr>
      <a:bodyPr rot="0" spcFirstLastPara="1" vertOverflow="overflow" horzOverflow="overflow" vert="horz" wrap="square" lIns="101600" tIns="101600" rIns="101600" bIns="101600" numCol="1" spcCol="38100" rtlCol="0" anchor="ctr" upright="0">
        <a:spAutoFit/>
      </a:bodyPr>
      <a:lstStyle>
        <a:defPPr marL="0" marR="0" indent="0" algn="ctr" defTabSz="457200" rtl="0" fontAlgn="auto" latinLnBrk="0" hangingPunct="0">
          <a:lnSpc>
            <a:spcPct val="100000"/>
          </a:lnSpc>
          <a:spcBef>
            <a:spcPts val="0"/>
          </a:spcBef>
          <a:spcAft>
            <a:spcPts val="0"/>
          </a:spcAft>
          <a:buClrTx/>
          <a:buSzTx/>
          <a:buFontTx/>
          <a:buNone/>
          <a:tabLst/>
          <a:defRPr b="0" baseline="0" cap="none" i="0" spc="0" strike="noStrike" sz="1200" u="none" kumimoji="0" normalizeH="0">
            <a:ln>
              <a:noFill/>
            </a:ln>
            <a:solidFill>
              <a:srgbClr val="FFFFFF"/>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upright="0">
        <a:spAutoFit/>
      </a:bodyPr>
      <a:lstStyle>
        <a:defPPr marL="0" marR="0" indent="0" algn="l" defTabSz="457200" rtl="0" fontAlgn="auto" latinLnBrk="0" hangingPunct="0">
          <a:lnSpc>
            <a:spcPct val="100000"/>
          </a:lnSpc>
          <a:spcBef>
            <a:spcPts val="0"/>
          </a:spcBef>
          <a:spcAft>
            <a:spcPts val="0"/>
          </a:spcAft>
          <a:buClrTx/>
          <a:buSzTx/>
          <a:buFontTx/>
          <a:buNone/>
          <a:tabLst/>
          <a:defRPr b="0" baseline="0" cap="none" i="0" spc="0" strike="noStrike" sz="11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