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B2A" w:rsidRPr="00007B2A" w:rsidRDefault="00007B2A" w:rsidP="00007B2A">
      <w:pPr>
        <w:pStyle w:val="ad"/>
        <w:spacing w:before="0" w:beforeAutospacing="0" w:after="0" w:afterAutospacing="0"/>
        <w:rPr>
          <w:color w:val="0070C0"/>
          <w:sz w:val="8"/>
          <w:szCs w:val="8"/>
        </w:rPr>
      </w:pPr>
      <w:r w:rsidRPr="00007B2A">
        <w:rPr>
          <w:rFonts w:asciiTheme="minorHAnsi" w:eastAsiaTheme="minorEastAsia" w:hAnsi="Calibri" w:cstheme="minorBidi"/>
          <w:color w:val="0070C0"/>
          <w:kern w:val="24"/>
          <w:sz w:val="40"/>
          <w:szCs w:val="40"/>
        </w:rPr>
        <w:t>Progressive retinal vessel malformation in a premature infant with Sturge-Weber syndrome after intravitreal anti-VEGF</w:t>
      </w:r>
    </w:p>
    <w:p w:rsidR="00007B2A" w:rsidRPr="00007B2A" w:rsidRDefault="00007B2A" w:rsidP="00007B2A">
      <w:pPr>
        <w:pStyle w:val="ad"/>
        <w:spacing w:before="0" w:beforeAutospacing="0" w:after="0" w:afterAutospacing="0"/>
        <w:rPr>
          <w:sz w:val="8"/>
          <w:szCs w:val="8"/>
        </w:rPr>
      </w:pPr>
      <w:r w:rsidRPr="00007B2A">
        <w:rPr>
          <w:rFonts w:asciiTheme="minorHAnsi" w:eastAsiaTheme="minorEastAsia" w:hAnsi="Calibri" w:cstheme="minorBidi"/>
          <w:color w:val="000000" w:themeColor="text1"/>
          <w:kern w:val="24"/>
          <w:sz w:val="28"/>
          <w:szCs w:val="28"/>
        </w:rPr>
        <w:t>Yun Li, Jian Cao,</w:t>
      </w:r>
    </w:p>
    <w:p w:rsidR="00007B2A" w:rsidRPr="00007B2A" w:rsidRDefault="00007B2A" w:rsidP="00007B2A">
      <w:pPr>
        <w:pStyle w:val="ad"/>
        <w:spacing w:before="0" w:beforeAutospacing="0" w:after="0" w:afterAutospacing="0"/>
        <w:rPr>
          <w:sz w:val="8"/>
          <w:szCs w:val="8"/>
        </w:rPr>
      </w:pPr>
      <w:r w:rsidRPr="00007B2A">
        <w:rPr>
          <w:rFonts w:asciiTheme="minorHAnsi" w:eastAsiaTheme="minorEastAsia" w:hAnsi="Calibri" w:cstheme="minorBidi"/>
          <w:color w:val="000000" w:themeColor="text1"/>
          <w:kern w:val="24"/>
          <w:sz w:val="22"/>
          <w:szCs w:val="22"/>
        </w:rPr>
        <w:t xml:space="preserve">Department of Ophthalmology, the 2nd </w:t>
      </w:r>
      <w:proofErr w:type="spellStart"/>
      <w:r w:rsidRPr="00007B2A">
        <w:rPr>
          <w:rFonts w:asciiTheme="minorHAnsi" w:eastAsiaTheme="minorEastAsia" w:hAnsi="Calibri" w:cstheme="minorBidi"/>
          <w:color w:val="000000" w:themeColor="text1"/>
          <w:kern w:val="24"/>
          <w:sz w:val="22"/>
          <w:szCs w:val="22"/>
        </w:rPr>
        <w:t>Xiangya</w:t>
      </w:r>
      <w:proofErr w:type="spellEnd"/>
      <w:r w:rsidRPr="00007B2A">
        <w:rPr>
          <w:rFonts w:asciiTheme="minorHAnsi" w:eastAsiaTheme="minorEastAsia" w:hAnsi="Calibri" w:cstheme="minorBidi"/>
          <w:color w:val="000000" w:themeColor="text1"/>
          <w:kern w:val="24"/>
          <w:sz w:val="22"/>
          <w:szCs w:val="22"/>
        </w:rPr>
        <w:t xml:space="preserve"> Hospital of Central South University, Changsha, Hunan, P.R. China;</w:t>
      </w:r>
    </w:p>
    <w:p w:rsidR="00007B2A" w:rsidRPr="00007B2A" w:rsidRDefault="00007B2A" w:rsidP="00007B2A">
      <w:pPr>
        <w:pStyle w:val="ad"/>
        <w:spacing w:before="0" w:beforeAutospacing="0" w:after="0" w:afterAutospacing="0"/>
        <w:rPr>
          <w:sz w:val="8"/>
          <w:szCs w:val="8"/>
        </w:rPr>
      </w:pPr>
      <w:r w:rsidRPr="00007B2A">
        <w:rPr>
          <w:rFonts w:asciiTheme="minorHAnsi" w:eastAsiaTheme="minorEastAsia" w:hAnsi="Calibri" w:cstheme="minorBidi"/>
          <w:color w:val="000000" w:themeColor="text1"/>
          <w:kern w:val="24"/>
          <w:sz w:val="22"/>
          <w:szCs w:val="22"/>
        </w:rPr>
        <w:t xml:space="preserve">Hunan Clinical Research Center of Ophthalmic Disease, Changsha, Hunan, </w:t>
      </w:r>
      <w:proofErr w:type="spellStart"/>
      <w:r w:rsidRPr="00007B2A">
        <w:rPr>
          <w:rFonts w:asciiTheme="minorHAnsi" w:eastAsiaTheme="minorEastAsia" w:hAnsi="Calibri" w:cstheme="minorBidi"/>
          <w:color w:val="000000" w:themeColor="text1"/>
          <w:kern w:val="24"/>
          <w:sz w:val="22"/>
          <w:szCs w:val="22"/>
        </w:rPr>
        <w:t>P.</w:t>
      </w:r>
      <w:proofErr w:type="gramStart"/>
      <w:r w:rsidRPr="00007B2A">
        <w:rPr>
          <w:rFonts w:asciiTheme="minorHAnsi" w:eastAsiaTheme="minorEastAsia" w:hAnsi="Calibri" w:cstheme="minorBidi"/>
          <w:color w:val="000000" w:themeColor="text1"/>
          <w:kern w:val="24"/>
          <w:sz w:val="22"/>
          <w:szCs w:val="22"/>
        </w:rPr>
        <w:t>R.China</w:t>
      </w:r>
      <w:proofErr w:type="spellEnd"/>
      <w:proofErr w:type="gramEnd"/>
      <w:r w:rsidRPr="00007B2A">
        <w:rPr>
          <w:rFonts w:asciiTheme="minorHAnsi" w:eastAsiaTheme="minorEastAsia" w:hAnsi="Calibri" w:cstheme="minorBidi"/>
          <w:color w:val="000000" w:themeColor="text1"/>
          <w:kern w:val="24"/>
          <w:sz w:val="22"/>
          <w:szCs w:val="22"/>
        </w:rPr>
        <w:t>.</w:t>
      </w:r>
    </w:p>
    <w:p w:rsidR="00AE3E37" w:rsidRPr="001004EE" w:rsidRDefault="00AE3E37" w:rsidP="001004EE">
      <w:pPr>
        <w:pStyle w:val="a3"/>
        <w:spacing w:before="73" w:line="198" w:lineRule="exact"/>
        <w:ind w:left="100" w:right="5987"/>
        <w:rPr>
          <w:rFonts w:ascii="Arial"/>
        </w:rPr>
        <w:sectPr w:rsidR="00AE3E37" w:rsidRPr="001004EE">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007B2A" w:rsidRPr="00007B2A" w:rsidRDefault="00007B2A" w:rsidP="00007B2A">
      <w:pPr>
        <w:pStyle w:val="a3"/>
        <w:spacing w:before="90" w:line="280" w:lineRule="auto"/>
        <w:ind w:left="100"/>
        <w:jc w:val="both"/>
      </w:pPr>
      <w:r w:rsidRPr="00007B2A">
        <w:t>Case presentation</w:t>
      </w:r>
    </w:p>
    <w:p w:rsidR="00007B2A" w:rsidRPr="00007B2A" w:rsidRDefault="00007B2A" w:rsidP="00007B2A">
      <w:pPr>
        <w:pStyle w:val="a3"/>
        <w:spacing w:before="90" w:line="280" w:lineRule="auto"/>
        <w:ind w:left="100"/>
        <w:jc w:val="both"/>
      </w:pPr>
      <w:r w:rsidRPr="00007B2A">
        <w:t>A male infant (gestational age 30 weeks, birth weight 1410g) presented for the screening of retinopathy of prematurity (ROP). On examination at age PMA 34 weeks (initial visit) a port wine stain was noted on his left eyelids and maxillary area, following the V1 and V2 distributions of the trigeminal nerve (Figure 1A). From post menstrual age (PMA) 37 weeks, he was found to have progressive ROP (Zone 2 stage 3) in his left eye and received intravitreal ranibizumab (Lucentis, Novartis) at PMA 39 weeks to treat type 1 ROP. The ridge and neovascularization (NV) regressed satisfactorily, but diffuse choroidal hemangioma became evident at 40 weeks, with typical “tomato catsup fundus”. These clinical findings characterized Sturge-Weber Syndrome. At PMA 44 weeks, the baby was then noted to have increased bulbar conjunctival vascularization and retinal vascular tortuosity. Multiple vein-to-vein anastomoses in the peripheral retina (Figure 2) and increased retinal vascular tortuosity are spotted on fundus photography and fluorescein angiography (FFA) (Figure 3). The baby has a normal IOP thus far and is under close observation for further ocular changes. No leptomeningeal angiomatosis was noted from the MRI (result not shown).</w:t>
      </w:r>
    </w:p>
    <w:p w:rsidR="00007B2A" w:rsidRPr="00007B2A" w:rsidRDefault="00007B2A" w:rsidP="00007B2A">
      <w:pPr>
        <w:pStyle w:val="a3"/>
        <w:spacing w:before="90" w:line="280" w:lineRule="auto"/>
        <w:ind w:left="100"/>
        <w:jc w:val="both"/>
      </w:pPr>
      <w:r w:rsidRPr="00007B2A">
        <w:t>Discussion and conclusions</w:t>
      </w:r>
    </w:p>
    <w:p w:rsidR="00AE3E37" w:rsidRDefault="00007B2A" w:rsidP="00007B2A">
      <w:pPr>
        <w:pStyle w:val="a3"/>
        <w:spacing w:before="90" w:line="280" w:lineRule="auto"/>
        <w:ind w:left="100"/>
        <w:jc w:val="both"/>
      </w:pPr>
      <w:r w:rsidRPr="00007B2A">
        <w:t>We describe a premature infant as a youngest SWS patient whose progressive</w:t>
      </w:r>
      <w:r>
        <w:t xml:space="preserve"> </w:t>
      </w:r>
      <w:r w:rsidRPr="00007B2A">
        <w:t xml:space="preserve">multiple ocular vessel malformations was documented. The patient was also diagnosed with type1 ROP in his left eye at PMA 37. a lesson we should think and learn from this case is how we can differentiate the vascular abnormality in SWS and ROP. </w:t>
      </w:r>
      <w:proofErr w:type="gramStart"/>
      <w:r w:rsidRPr="00007B2A">
        <w:t>.morphology</w:t>
      </w:r>
      <w:proofErr w:type="gramEnd"/>
      <w:r w:rsidRPr="00007B2A">
        <w:t xml:space="preserve"> of the abnormal vessels, progression pattern and FFA under anesthesia is helpful in such situation.</w:t>
      </w:r>
      <w:r w:rsidR="00A9710C">
        <w:t>.</w:t>
      </w:r>
    </w:p>
    <w:p w:rsidR="00007B2A" w:rsidRDefault="00007B2A" w:rsidP="00007B2A">
      <w:pPr>
        <w:pStyle w:val="a3"/>
        <w:spacing w:before="90" w:line="280" w:lineRule="auto"/>
        <w:ind w:left="100"/>
        <w:jc w:val="both"/>
      </w:pPr>
    </w:p>
    <w:p w:rsidR="00007B2A" w:rsidRDefault="00007B2A" w:rsidP="00007B2A">
      <w:pPr>
        <w:spacing w:line="204" w:lineRule="exact"/>
        <w:rPr>
          <w:rFonts w:ascii="Arial"/>
          <w:b/>
          <w:sz w:val="20"/>
        </w:rPr>
      </w:pPr>
      <w:r>
        <w:rPr>
          <w:rFonts w:ascii="Arial"/>
          <w:b/>
          <w:color w:val="BF5A14"/>
          <w:sz w:val="20"/>
        </w:rPr>
        <w:t>Recent Publications (minimum 5)</w:t>
      </w:r>
    </w:p>
    <w:p w:rsidR="00007B2A" w:rsidRDefault="00007B2A" w:rsidP="00007B2A">
      <w:pPr>
        <w:pStyle w:val="a5"/>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007B2A" w:rsidRDefault="00007B2A" w:rsidP="00007B2A">
      <w:pPr>
        <w:pStyle w:val="a5"/>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007B2A" w:rsidRDefault="00007B2A" w:rsidP="00007B2A">
      <w:pPr>
        <w:pStyle w:val="a3"/>
        <w:spacing w:before="90" w:line="280" w:lineRule="auto"/>
        <w:ind w:left="100"/>
        <w:jc w:val="both"/>
      </w:pPr>
    </w:p>
    <w:p w:rsidR="00AE3E37" w:rsidRDefault="00A9710C">
      <w:pPr>
        <w:pStyle w:val="3"/>
        <w:spacing w:before="74"/>
      </w:pPr>
      <w:r>
        <w:rPr>
          <w:b w:val="0"/>
        </w:rPr>
        <w:br w:type="column"/>
      </w:r>
      <w:r>
        <w:rPr>
          <w:color w:val="BF5A14"/>
        </w:rPr>
        <w:t>Image</w:t>
      </w:r>
    </w:p>
    <w:p w:rsidR="00AE3E37" w:rsidRDefault="00007B2A">
      <w:pPr>
        <w:pStyle w:val="a3"/>
        <w:spacing w:before="2"/>
        <w:rPr>
          <w:rFonts w:ascii="Arial"/>
          <w:b/>
          <w:sz w:val="16"/>
        </w:rPr>
      </w:pPr>
      <w:r>
        <w:rPr>
          <w:rFonts w:ascii="Arial"/>
          <w:b/>
          <w:noProof/>
          <w:sz w:val="16"/>
        </w:rPr>
        <w:drawing>
          <wp:inline distT="0" distB="0" distL="0" distR="0" wp14:anchorId="5256BC00">
            <wp:extent cx="2335603" cy="3869266"/>
            <wp:effectExtent l="0" t="0" r="762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442" cy="3875625"/>
                    </a:xfrm>
                    <a:prstGeom prst="rect">
                      <a:avLst/>
                    </a:prstGeom>
                    <a:noFill/>
                  </pic:spPr>
                </pic:pic>
              </a:graphicData>
            </a:graphic>
          </wp:inline>
        </w:drawing>
      </w:r>
    </w:p>
    <w:p w:rsidR="00007B2A" w:rsidRDefault="00007B2A">
      <w:pPr>
        <w:pStyle w:val="a3"/>
        <w:spacing w:before="2"/>
        <w:rPr>
          <w:rFonts w:ascii="Arial"/>
          <w:b/>
          <w:sz w:val="16"/>
        </w:rPr>
      </w:pPr>
    </w:p>
    <w:p w:rsidR="00007B2A" w:rsidRPr="00007B2A" w:rsidRDefault="00007B2A" w:rsidP="00007B2A">
      <w:pPr>
        <w:pStyle w:val="a5"/>
        <w:numPr>
          <w:ilvl w:val="0"/>
          <w:numId w:val="3"/>
        </w:numPr>
        <w:tabs>
          <w:tab w:val="left" w:pos="384"/>
        </w:tabs>
        <w:spacing w:line="216" w:lineRule="exact"/>
        <w:ind w:right="138"/>
        <w:rPr>
          <w:sz w:val="18"/>
        </w:rPr>
      </w:pPr>
      <w:proofErr w:type="spellStart"/>
      <w:r w:rsidRPr="00007B2A">
        <w:rPr>
          <w:sz w:val="18"/>
        </w:rPr>
        <w:t>LiX</w:t>
      </w:r>
      <w:proofErr w:type="spellEnd"/>
      <w:r w:rsidRPr="00007B2A">
        <w:rPr>
          <w:sz w:val="18"/>
        </w:rPr>
        <w:t xml:space="preserve">, </w:t>
      </w:r>
      <w:proofErr w:type="spellStart"/>
      <w:r w:rsidRPr="00007B2A">
        <w:rPr>
          <w:sz w:val="18"/>
        </w:rPr>
        <w:t>SchwachaMG</w:t>
      </w:r>
      <w:proofErr w:type="spellEnd"/>
      <w:r w:rsidRPr="00007B2A">
        <w:rPr>
          <w:sz w:val="18"/>
        </w:rPr>
        <w:t xml:space="preserve">, </w:t>
      </w:r>
      <w:proofErr w:type="spellStart"/>
      <w:r w:rsidRPr="00007B2A">
        <w:rPr>
          <w:sz w:val="18"/>
        </w:rPr>
        <w:t>ChaudryIH</w:t>
      </w:r>
      <w:proofErr w:type="spellEnd"/>
      <w:r w:rsidRPr="00007B2A">
        <w:rPr>
          <w:sz w:val="18"/>
        </w:rPr>
        <w:t xml:space="preserve">, </w:t>
      </w:r>
      <w:proofErr w:type="spellStart"/>
      <w:r w:rsidRPr="00007B2A">
        <w:rPr>
          <w:sz w:val="18"/>
        </w:rPr>
        <w:t>ChoudhryMA</w:t>
      </w:r>
      <w:proofErr w:type="spellEnd"/>
      <w:r w:rsidRPr="00007B2A">
        <w:rPr>
          <w:sz w:val="18"/>
        </w:rPr>
        <w:t xml:space="preserve"> (</w:t>
      </w:r>
      <w:proofErr w:type="gramStart"/>
      <w:r w:rsidRPr="00007B2A">
        <w:rPr>
          <w:sz w:val="18"/>
        </w:rPr>
        <w:t>2008)</w:t>
      </w:r>
      <w:proofErr w:type="spellStart"/>
      <w:r w:rsidRPr="00007B2A">
        <w:rPr>
          <w:sz w:val="18"/>
        </w:rPr>
        <w:t>Acutealcohol</w:t>
      </w:r>
      <w:proofErr w:type="spellEnd"/>
      <w:proofErr w:type="gramEnd"/>
      <w:r w:rsidRPr="00007B2A">
        <w:rPr>
          <w:sz w:val="18"/>
        </w:rPr>
        <w:t xml:space="preserve"> intoxication potentiates neutrophil-mediated intestinal tissue damage after burn injury. Shock 29:377.</w:t>
      </w:r>
    </w:p>
    <w:p w:rsidR="005973B9" w:rsidRPr="00007B2A" w:rsidRDefault="005973B9" w:rsidP="00007B2A">
      <w:pPr>
        <w:pStyle w:val="a5"/>
        <w:numPr>
          <w:ilvl w:val="0"/>
          <w:numId w:val="3"/>
        </w:numPr>
        <w:spacing w:line="204" w:lineRule="exact"/>
        <w:rPr>
          <w:sz w:val="18"/>
        </w:rPr>
      </w:pPr>
      <w:r w:rsidRPr="00007B2A">
        <w:rPr>
          <w:sz w:val="18"/>
        </w:rPr>
        <w:t xml:space="preserve">Room R, </w:t>
      </w:r>
      <w:proofErr w:type="spellStart"/>
      <w:r w:rsidRPr="00007B2A">
        <w:rPr>
          <w:sz w:val="18"/>
        </w:rPr>
        <w:t>Babor</w:t>
      </w:r>
      <w:r w:rsidRPr="00007B2A">
        <w:rPr>
          <w:spacing w:val="-10"/>
          <w:sz w:val="18"/>
        </w:rPr>
        <w:t>T</w:t>
      </w:r>
      <w:proofErr w:type="spellEnd"/>
      <w:r w:rsidRPr="00007B2A">
        <w:rPr>
          <w:spacing w:val="-10"/>
          <w:sz w:val="18"/>
        </w:rPr>
        <w:t xml:space="preserve">, </w:t>
      </w:r>
      <w:r w:rsidRPr="00007B2A">
        <w:rPr>
          <w:sz w:val="18"/>
        </w:rPr>
        <w:t>Rehm J (2005) Alcohol and public health. Lancet</w:t>
      </w:r>
    </w:p>
    <w:p w:rsidR="005973B9" w:rsidRDefault="005973B9" w:rsidP="005973B9">
      <w:pPr>
        <w:pStyle w:val="a3"/>
        <w:spacing w:line="218" w:lineRule="exact"/>
        <w:ind w:left="383"/>
        <w:rPr>
          <w:rFonts w:ascii="Calibri"/>
        </w:rPr>
      </w:pPr>
      <w:r w:rsidRPr="005973B9">
        <w:rPr>
          <w:rFonts w:ascii="Calibri"/>
        </w:rPr>
        <w:t>365: 519-530.</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8F2D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07B2A" w:rsidRPr="00007B2A">
        <w:drawing>
          <wp:inline distT="0" distB="0" distL="0" distR="0" wp14:anchorId="4C308F4C" wp14:editId="2386D32B">
            <wp:extent cx="894927" cy="894927"/>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172" cy="914172"/>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007B2A">
      <w:pPr>
        <w:spacing w:before="41" w:line="154" w:lineRule="exact"/>
        <w:ind w:left="213" w:right="231"/>
        <w:jc w:val="both"/>
        <w:rPr>
          <w:rFonts w:ascii="Arial"/>
          <w:sz w:val="14"/>
        </w:rPr>
      </w:pPr>
      <w:r>
        <w:rPr>
          <w:rFonts w:ascii="Arial"/>
          <w:sz w:val="14"/>
        </w:rPr>
        <w:t xml:space="preserve">Li Yun </w:t>
      </w:r>
      <w:r w:rsidR="00A9710C">
        <w:rPr>
          <w:rFonts w:ascii="Arial"/>
          <w:sz w:val="14"/>
        </w:rPr>
        <w:t xml:space="preserve">has her expertise in evaluation and passion in improving the </w:t>
      </w:r>
      <w:r>
        <w:rPr>
          <w:rFonts w:ascii="Arial"/>
          <w:sz w:val="14"/>
        </w:rPr>
        <w:t>pediatric ophthalmology clinical and translational research</w:t>
      </w:r>
      <w:r w:rsidR="00A9710C">
        <w:rPr>
          <w:rFonts w:ascii="Arial"/>
          <w:sz w:val="14"/>
        </w:rPr>
        <w:t xml:space="preserve">. </w:t>
      </w:r>
    </w:p>
    <w:p w:rsidR="00AE3E37" w:rsidRPr="00007B2A" w:rsidRDefault="00A9710C" w:rsidP="00007B2A">
      <w:pPr>
        <w:spacing w:before="62"/>
        <w:ind w:left="4217" w:right="4235"/>
        <w:jc w:val="center"/>
        <w:rPr>
          <w:rFonts w:ascii="Arial"/>
          <w:sz w:val="14"/>
        </w:rPr>
      </w:pPr>
      <w:r>
        <w:rPr>
          <w:rFonts w:ascii="Arial"/>
          <w:sz w:val="14"/>
        </w:rPr>
        <w:t xml:space="preserve">Email: </w:t>
      </w:r>
      <w:r w:rsidR="00292ED9">
        <w:rPr>
          <w:noProof/>
          <w:lang w:val="en-IN" w:eastAsia="en-IN"/>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38C1C" id="Line 3" o:spid="_x0000_s1026" style="position:absolute;left:0;text-align:lef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007B2A">
        <w:rPr>
          <w:rFonts w:ascii="Arial"/>
          <w:sz w:val="14"/>
        </w:rPr>
        <w:t>2259960885@qq.com</w: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7DE6" w:rsidRDefault="009B7DE6">
      <w:r>
        <w:separator/>
      </w:r>
    </w:p>
  </w:endnote>
  <w:endnote w:type="continuationSeparator" w:id="0">
    <w:p w:rsidR="009B7DE6" w:rsidRDefault="009B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7DE6" w:rsidRDefault="009B7DE6">
      <w:r>
        <w:separator/>
      </w:r>
    </w:p>
  </w:footnote>
  <w:footnote w:type="continuationSeparator" w:id="0">
    <w:p w:rsidR="009B7DE6" w:rsidRDefault="009B7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C5C441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7B2A"/>
    <w:rsid w:val="000E2911"/>
    <w:rsid w:val="001004EE"/>
    <w:rsid w:val="0010183E"/>
    <w:rsid w:val="001263DF"/>
    <w:rsid w:val="00292ED9"/>
    <w:rsid w:val="00404E5B"/>
    <w:rsid w:val="00414F7B"/>
    <w:rsid w:val="004355DC"/>
    <w:rsid w:val="004749B4"/>
    <w:rsid w:val="00494130"/>
    <w:rsid w:val="004F3523"/>
    <w:rsid w:val="005973B9"/>
    <w:rsid w:val="005B3A56"/>
    <w:rsid w:val="006060CE"/>
    <w:rsid w:val="0063497F"/>
    <w:rsid w:val="00703FCF"/>
    <w:rsid w:val="008703A7"/>
    <w:rsid w:val="00873DF0"/>
    <w:rsid w:val="008756E6"/>
    <w:rsid w:val="009B2D44"/>
    <w:rsid w:val="009B7DE6"/>
    <w:rsid w:val="00A07E82"/>
    <w:rsid w:val="00A92311"/>
    <w:rsid w:val="00A9710C"/>
    <w:rsid w:val="00AE3E37"/>
    <w:rsid w:val="00AE6F28"/>
    <w:rsid w:val="00B21A57"/>
    <w:rsid w:val="00C3360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2F38B"/>
  <w15:docId w15:val="{CBB904B1-45D4-4CB5-AFD1-B89BE797A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styleId="ad">
    <w:name w:val="Normal (Web)"/>
    <w:basedOn w:val="a"/>
    <w:uiPriority w:val="99"/>
    <w:semiHidden/>
    <w:unhideWhenUsed/>
    <w:rsid w:val="00007B2A"/>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7798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563560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 Yun</cp:lastModifiedBy>
  <cp:revision>2</cp:revision>
  <dcterms:created xsi:type="dcterms:W3CDTF">2019-12-09T12:02:00Z</dcterms:created>
  <dcterms:modified xsi:type="dcterms:W3CDTF">2019-12-09T12:02:00Z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