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70"/>
        <w:ind w:left="0"/>
        <w:rPr>
          <w:rFonts w:hint="default"/>
          <w:color w:val="337AB7"/>
        </w:rPr>
      </w:pPr>
      <w:r>
        <w:rPr>
          <w:rFonts w:hint="default"/>
          <w:color w:val="337AB7"/>
          <w:lang w:val="en-US" w:eastAsia="zh-CN"/>
        </w:rPr>
        <w:t>Clinical observation of surgical outcomes of patients with Bielschowsky type acute acquired concomitant esotropia</w:t>
      </w:r>
    </w:p>
    <w:p>
      <w:pPr>
        <w:pStyle w:val="6"/>
        <w:spacing w:before="73" w:line="198" w:lineRule="exact"/>
        <w:ind w:left="180" w:right="1980" w:rightChars="900" w:hanging="180" w:hangingChars="100"/>
        <w:rPr>
          <w:rFonts w:hint="default" w:ascii="Arial"/>
          <w:lang w:val="en-US" w:eastAsia="zh-CN"/>
        </w:rPr>
      </w:pPr>
      <w:r>
        <w:rPr>
          <w:rFonts w:hint="default" w:ascii="Arial"/>
          <w:lang w:val="en-US" w:eastAsia="zh-CN"/>
        </w:rPr>
        <w:t xml:space="preserve">Jiwen Yang,Lijing Liu </w:t>
      </w:r>
      <w:r>
        <w:rPr>
          <w:rFonts w:ascii="Arial"/>
        </w:rPr>
        <w:t>,</w:t>
      </w:r>
      <w:r>
        <w:rPr>
          <w:rFonts w:hint="eastAsia" w:ascii="Arial"/>
          <w:lang w:val="en-US" w:eastAsia="zh-CN"/>
        </w:rPr>
        <w:t>Aier Eye Hospital Group Shenyang Aier Eye Hospital,CHINA</w:t>
      </w:r>
    </w:p>
    <w:p>
      <w:pPr>
        <w:pStyle w:val="6"/>
        <w:spacing w:before="73" w:line="198" w:lineRule="exact"/>
        <w:ind w:right="5987"/>
        <w:rPr>
          <w:rFonts w:hint="default" w:ascii="Arial"/>
          <w:lang w:val="en-US" w:eastAsia="zh-CN"/>
        </w:rPr>
      </w:pPr>
    </w:p>
    <w:p>
      <w:pPr>
        <w:pStyle w:val="6"/>
        <w:spacing w:before="3"/>
        <w:rPr>
          <w:rFonts w:ascii="Arial"/>
          <w:sz w:val="21"/>
        </w:rPr>
      </w:pPr>
    </w:p>
    <w:p>
      <w:pPr>
        <w:rPr>
          <w:rFonts w:ascii="Arial"/>
          <w:sz w:val="21"/>
        </w:rPr>
        <w:sectPr>
          <w:headerReference r:id="rId3" w:type="default"/>
          <w:footerReference r:id="rId4" w:type="default"/>
          <w:type w:val="continuous"/>
          <w:pgSz w:w="11910" w:h="16840"/>
          <w:pgMar w:top="1740" w:right="600" w:bottom="840" w:left="620" w:header="541" w:footer="642" w:gutter="0"/>
          <w:cols w:space="720" w:num="1"/>
        </w:sectPr>
      </w:pPr>
    </w:p>
    <w:p>
      <w:pPr>
        <w:pStyle w:val="4"/>
        <w:spacing w:before="147"/>
        <w:jc w:val="both"/>
      </w:pPr>
      <w:r>
        <w:rPr>
          <w:color w:val="BF5A14"/>
        </w:rPr>
        <w:t>Abstract (300 word limit)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53" w:firstLine="0"/>
        <w:jc w:val="left"/>
        <w:rPr>
          <w:rFonts w:hint="default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</w:pPr>
      <w:r>
        <w:rPr>
          <w:rFonts w:hint="eastAsia" w:hAnsi="Times New Roman" w:cs="Times New Roman" w:asciiTheme="minorAscii"/>
          <w:b/>
          <w:bCs/>
          <w:kern w:val="0"/>
          <w:sz w:val="21"/>
          <w:szCs w:val="21"/>
          <w:lang w:val="en-US" w:eastAsia="zh-CN" w:bidi="ar-SA"/>
        </w:rPr>
        <w:t>Purpose:</w:t>
      </w:r>
      <w:r>
        <w:rPr>
          <w:rFonts w:hint="default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>To review and analyze</w:t>
      </w:r>
      <w:r>
        <w:rPr>
          <w:rFonts w:hint="eastAsia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 xml:space="preserve"> </w:t>
      </w:r>
      <w:r>
        <w:rPr>
          <w:rFonts w:hint="default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>surgical outcomes of patients with Bielschowsky type acute acquired concomitant esotropia (AACE)</w:t>
      </w:r>
      <w:r>
        <w:rPr>
          <w:rFonts w:hint="eastAsia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>.</w:t>
      </w:r>
    </w:p>
    <w:p>
      <w:pPr>
        <w:spacing w:line="240" w:lineRule="auto"/>
        <w:jc w:val="both"/>
        <w:rPr>
          <w:rFonts w:hint="eastAsia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</w:pPr>
      <w:r>
        <w:rPr>
          <w:rFonts w:hint="eastAsia" w:hAnsi="Times New Roman" w:eastAsia="宋体" w:cs="Times New Roman" w:asciiTheme="minorAscii"/>
          <w:b/>
          <w:bCs/>
          <w:kern w:val="0"/>
          <w:sz w:val="21"/>
          <w:szCs w:val="21"/>
          <w:lang w:val="en-US" w:eastAsia="zh-CN" w:bidi="ar-SA"/>
        </w:rPr>
        <w:t>Methods:</w:t>
      </w:r>
      <w:r>
        <w:rPr>
          <w:rFonts w:hint="eastAsia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 xml:space="preserve">Retrospective study.We enrolled 9 esotropia and </w:t>
      </w:r>
      <w:r>
        <w:rPr>
          <w:rFonts w:hint="default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>diplopia</w:t>
      </w:r>
      <w:r>
        <w:rPr>
          <w:rFonts w:hint="eastAsia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 xml:space="preserve"> patients with myopia who performed strabismus surgery in Shenyang Aier Eye Hospital between June 2018 and March 2019,including 4 males,5 females.The mean age of the patients was 22.67±5.41(range,16-30)years.They underwent monocular Medial Rectus Recession and Lateral Rectus Resection(6 cases),monocular Lateral Rectus Resection(3 cases).</w:t>
      </w:r>
    </w:p>
    <w:p>
      <w:pPr>
        <w:spacing w:line="240" w:lineRule="auto"/>
        <w:jc w:val="left"/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</w:pPr>
      <w:r>
        <w:rPr>
          <w:rFonts w:hint="eastAsia" w:hAnsi="Times New Roman" w:eastAsia="宋体" w:cs="Times New Roman" w:asciiTheme="minorAscii"/>
          <w:b/>
          <w:bCs/>
          <w:kern w:val="0"/>
          <w:sz w:val="21"/>
          <w:szCs w:val="21"/>
          <w:lang w:val="en-US" w:eastAsia="zh-CN" w:bidi="ar-SA"/>
        </w:rPr>
        <w:t>Results: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1.The mean time of esotropia and diplopia onset:22±15.59(range, 6-48)months.2.Incentives and treatment history:Excessive near working(2 cases),acupuncture treatment(3 cases),others with no treatment.3.The mean refractive errors in the right and left eyes were -4.05±1.34(range,-2.25~-6.50) and -3.52±0.98(range,-2.00~-5.25) diopters(D), respectively.4.The mean AC/A value:2.04±1.10(range,0.67~4).5.E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>sodeviations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:Average preoperative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 xml:space="preserve"> esodeviations at near and distance were 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22.67±12.41(range,14~48)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 xml:space="preserve"> and 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29.11±9.27(range,18~46)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 xml:space="preserve"> PD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,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> 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average postoperative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 xml:space="preserve"> esodeviations at near and distance were 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0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 xml:space="preserve"> and 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0.44±1.33(range,0~4)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>PD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.There were significant statistically difference between preoperative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> 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 xml:space="preserve">and postoperative 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>esodeviations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 xml:space="preserve"> both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 xml:space="preserve"> at near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(T=5.48，P＜0.01)</w:t>
      </w:r>
      <w:r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  <w:t>and distance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 xml:space="preserve"> (T=8.65，P＜0.0 1),respectively.6.The mean Medial Rectus Recession 2.44±1.94(range,0-5)mm,3 cases had dominant diplopia at distance,so they underwent monocular Lateral Rectus Resection,the mean Lateral Rectus Resection 4.89±0.78(range,4-6)mm.7.Diplopia:9 patients all had diplopia preoperatively,all disappeared postoperatively.8.Stereopsis:5 patients had no stereopsis before surgery,3 cases regained stereopsis after surgery.</w:t>
      </w:r>
    </w:p>
    <w:p>
      <w:pPr>
        <w:pStyle w:val="5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240" w:lineRule="auto"/>
        <w:ind w:left="0" w:right="53" w:firstLine="0"/>
        <w:jc w:val="left"/>
        <w:rPr>
          <w:rFonts w:hint="default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</w:pPr>
      <w:r>
        <w:rPr>
          <w:rFonts w:hint="eastAsia" w:hAnsi="Times New Roman" w:eastAsia="宋体" w:cs="Times New Roman" w:asciiTheme="minorAscii"/>
          <w:b/>
          <w:bCs/>
          <w:kern w:val="0"/>
          <w:sz w:val="21"/>
          <w:szCs w:val="21"/>
          <w:lang w:val="en-US" w:eastAsia="zh-CN" w:bidi="ar-SA"/>
        </w:rPr>
        <w:t>Conclusions:</w:t>
      </w:r>
      <w:r>
        <w:rPr>
          <w:rFonts w:hint="eastAsia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 xml:space="preserve">In case of </w:t>
      </w:r>
      <w:r>
        <w:rPr>
          <w:rFonts w:hint="default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>patients with Bielschowsky type</w:t>
      </w:r>
      <w:r>
        <w:rPr>
          <w:rFonts w:hint="eastAsia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 xml:space="preserve"> </w:t>
      </w:r>
      <w:r>
        <w:rPr>
          <w:rFonts w:hint="default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>AACE</w:t>
      </w:r>
      <w:r>
        <w:rPr>
          <w:rFonts w:hint="eastAsia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 xml:space="preserve">,surgery is the main treatment,patients </w:t>
      </w:r>
      <w:r>
        <w:rPr>
          <w:rFonts w:hint="default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>achieved successful surgical align</w:t>
      </w:r>
      <w:r>
        <w:rPr>
          <w:rFonts w:hint="eastAsia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>m</w:t>
      </w:r>
      <w:r>
        <w:rPr>
          <w:rFonts w:hint="default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>ent</w:t>
      </w:r>
      <w:r>
        <w:rPr>
          <w:rFonts w:hint="eastAsia" w:ascii="Calibri" w:hAnsi="Calibri" w:eastAsia="Calibri" w:cs="Calibri"/>
          <w:b w:val="0"/>
          <w:kern w:val="0"/>
          <w:sz w:val="18"/>
          <w:szCs w:val="22"/>
          <w:lang w:val="en-US" w:eastAsia="zh-CN" w:bidi="ar-SA"/>
        </w:rPr>
        <w:t xml:space="preserve"> and the diplopia vanished as well.For patients with myopia, they should control the near work moderately.</w:t>
      </w:r>
    </w:p>
    <w:p>
      <w:pPr>
        <w:pStyle w:val="6"/>
        <w:spacing w:before="90" w:line="280" w:lineRule="auto"/>
        <w:ind w:left="100"/>
        <w:jc w:val="both"/>
      </w:pPr>
    </w:p>
    <w:p>
      <w:pPr>
        <w:pStyle w:val="4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>
      <w:pPr>
        <w:pStyle w:val="6"/>
        <w:spacing w:before="2"/>
      </w:pPr>
      <w:r>
        <w:drawing>
          <wp:inline distT="0" distB="0" distL="114300" distR="114300">
            <wp:extent cx="1571625" cy="1680845"/>
            <wp:effectExtent l="0" t="0" r="9525" b="14605"/>
            <wp:docPr id="3" name="图片 2" descr="微信图片_20190506141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微信图片_20190506141837"/>
                    <pic:cNvPicPr>
                      <a:picLocks noChangeAspect="1"/>
                    </pic:cNvPicPr>
                  </pic:nvPicPr>
                  <pic:blipFill>
                    <a:blip r:embed="rId6">
                      <a:lum bright="6000"/>
                    </a:blip>
                    <a:srcRect t="15365" b="528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8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701165" cy="1035050"/>
            <wp:effectExtent l="0" t="0" r="13335" b="12700"/>
            <wp:docPr id="2" name="图片 1" descr="微信图片_2019050614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微信图片_20190506141827"/>
                    <pic:cNvPicPr>
                      <a:picLocks noChangeAspect="1"/>
                    </pic:cNvPicPr>
                  </pic:nvPicPr>
                  <pic:blipFill>
                    <a:blip r:embed="rId7">
                      <a:lum bright="6000"/>
                    </a:blip>
                    <a:srcRect t="14264" r="2417" b="6847"/>
                    <a:stretch>
                      <a:fillRect/>
                    </a:stretch>
                  </pic:blipFill>
                  <pic:spPr>
                    <a:xfrm>
                      <a:off x="0" y="0"/>
                      <a:ext cx="1701165" cy="103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2"/>
      </w:pPr>
      <w:r>
        <w:rPr>
          <w:rFonts w:hint="eastAsia" w:eastAsia="宋体"/>
          <w:lang w:val="en-US" w:eastAsia="zh-CN"/>
        </w:rPr>
        <w:t xml:space="preserve">Figure 1:The synoptophore 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and Hess screen testing result of the same patient.</w:t>
      </w:r>
    </w:p>
    <w:p>
      <w:pPr>
        <w:pStyle w:val="6"/>
        <w:spacing w:before="2"/>
        <w:rPr>
          <w:rFonts w:hint="default" w:ascii="Calibri" w:hAnsi="Calibri" w:eastAsia="Calibri" w:cs="Calibri"/>
          <w:sz w:val="18"/>
          <w:szCs w:val="22"/>
          <w:lang w:val="en-US" w:eastAsia="zh-CN" w:bidi="ar-SA"/>
        </w:rPr>
      </w:pPr>
      <w:r>
        <w:drawing>
          <wp:inline distT="0" distB="0" distL="114300" distR="114300">
            <wp:extent cx="840740" cy="1607820"/>
            <wp:effectExtent l="0" t="0" r="11430" b="16510"/>
            <wp:docPr id="6" name="图片 2" descr="微信图片_20190506141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微信图片_20190506141923"/>
                    <pic:cNvPicPr>
                      <a:picLocks noChangeAspect="1"/>
                    </pic:cNvPicPr>
                  </pic:nvPicPr>
                  <pic:blipFill>
                    <a:blip r:embed="rId8"/>
                    <a:srcRect l="21171" t="8594" r="19813" b="27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074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840105" cy="1714500"/>
            <wp:effectExtent l="0" t="0" r="0" b="17145"/>
            <wp:docPr id="4" name="图片 3" descr="微信图片_20190506141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微信图片_20190506141928"/>
                    <pic:cNvPicPr>
                      <a:picLocks noChangeAspect="1"/>
                    </pic:cNvPicPr>
                  </pic:nvPicPr>
                  <pic:blipFill>
                    <a:blip r:embed="rId9"/>
                    <a:srcRect l="23811" t="9969" r="20843" b="547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010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before="2"/>
        <w:rPr>
          <w:rFonts w:ascii="Arial"/>
          <w:b/>
          <w:sz w:val="20"/>
        </w:rPr>
      </w:pPr>
      <w:r>
        <w:rPr>
          <w:rFonts w:hint="eastAsia" w:eastAsia="宋体"/>
          <w:lang w:val="en-US" w:eastAsia="zh-CN"/>
        </w:rPr>
        <w:t xml:space="preserve">Figure 2:The </w:t>
      </w:r>
      <w:r>
        <w:rPr>
          <w:rFonts w:hint="eastAsia" w:ascii="Calibri" w:hAnsi="Calibri" w:eastAsia="Calibri" w:cs="Calibri"/>
          <w:sz w:val="18"/>
          <w:szCs w:val="22"/>
          <w:lang w:val="en-US" w:eastAsia="zh-CN" w:bidi="ar-SA"/>
        </w:rPr>
        <w:t>Hess screen testing results before and after surgery of the same patient .</w:t>
      </w:r>
      <w:r>
        <w:rPr>
          <w:rFonts w:ascii="Arial"/>
          <w:b/>
          <w:color w:val="BF5A14"/>
          <w:sz w:val="20"/>
        </w:rPr>
        <w:br w:type="textWrapping"/>
      </w:r>
      <w:r>
        <w:rPr>
          <w:rFonts w:ascii="Arial"/>
          <w:b/>
          <w:color w:val="BF5A14"/>
          <w:sz w:val="20"/>
        </w:rPr>
        <w:t>Recent Publications (minimum 5)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383" w:leftChars="0" w:right="0" w:hanging="283" w:firstLineChars="0"/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</w:pP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zh-CN" w:bidi="ar-SA"/>
        </w:rPr>
        <w:t>Limin Bu,Jiwen Yang(2016)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>Superior oblique weakening in treatment of A-pattern strabismus</w:t>
      </w:r>
      <w:r>
        <w:rPr>
          <w:rFonts w:hint="eastAsia" w:ascii="Calibri" w:hAnsi="Calibri" w:eastAsia="宋体" w:cs="Calibri"/>
          <w:b w:val="0"/>
          <w:bCs w:val="0"/>
          <w:sz w:val="18"/>
          <w:szCs w:val="22"/>
          <w:lang w:val="en-US" w:eastAsia="zh-CN" w:bidi="ar-SA"/>
        </w:rPr>
        <w:t>.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>Chinese Journal of Practical Ophthalmology</w:t>
      </w:r>
      <w:r>
        <w:rPr>
          <w:rFonts w:hint="eastAsia" w:ascii="Calibri" w:hAnsi="Calibri" w:eastAsia="宋体" w:cs="Calibri"/>
          <w:b w:val="0"/>
          <w:bCs w:val="0"/>
          <w:sz w:val="18"/>
          <w:szCs w:val="22"/>
          <w:lang w:val="en-US" w:eastAsia="zh-CN" w:bidi="ar-SA"/>
        </w:rPr>
        <w:t xml:space="preserve"> 34:998-1000.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383" w:leftChars="0" w:right="0" w:hanging="283" w:firstLineChars="0"/>
        <w:rPr>
          <w:sz w:val="18"/>
        </w:rPr>
      </w:pP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zh-CN" w:bidi="ar-SA"/>
        </w:rPr>
        <w:t>Lijing Liu,Jiwen Yang(2016)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>Study of changes and the correlations of the corneal sensitivity after wearing orthokeratology lens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zh-CN" w:bidi="ar-SA"/>
        </w:rPr>
        <w:t>.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>Chinese Journal of Practical Ophthalmology</w:t>
      </w:r>
      <w:r>
        <w:rPr>
          <w:rFonts w:hint="eastAsia" w:ascii="Calibri" w:hAnsi="Calibri" w:eastAsia="宋体" w:cs="Calibri"/>
          <w:b w:val="0"/>
          <w:bCs w:val="0"/>
          <w:sz w:val="18"/>
          <w:szCs w:val="22"/>
          <w:lang w:val="en-US" w:eastAsia="zh-CN" w:bidi="ar-SA"/>
        </w:rPr>
        <w:t xml:space="preserve"> 34:460-465.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383" w:leftChars="0" w:right="0" w:hanging="283" w:firstLineChars="0"/>
        <w:rPr>
          <w:sz w:val="18"/>
        </w:rPr>
      </w:pP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zh-CN" w:bidi="ar-SA"/>
        </w:rPr>
        <w:t>Jiwen Yang,Limin Bu, Shu Xie(2014)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>Effect of rigid gas-permeable contact lenses on keratoconus</w:t>
      </w:r>
      <w:r>
        <w:rPr>
          <w:rFonts w:hint="eastAsia" w:ascii="Calibri" w:hAnsi="Calibri" w:eastAsia="宋体" w:cs="Calibri"/>
          <w:b w:val="0"/>
          <w:bCs w:val="0"/>
          <w:sz w:val="18"/>
          <w:szCs w:val="22"/>
          <w:lang w:val="en-US" w:eastAsia="zh-CN" w:bidi="ar-SA"/>
        </w:rPr>
        <w:t>.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>Chinese Journal of Optometry Ophthalmology and Visual Science</w:t>
      </w:r>
      <w:r>
        <w:rPr>
          <w:rFonts w:hint="eastAsia" w:ascii="Calibri" w:hAnsi="Calibri" w:eastAsia="宋体" w:cs="Calibri"/>
          <w:b w:val="0"/>
          <w:bCs w:val="0"/>
          <w:sz w:val="18"/>
          <w:szCs w:val="22"/>
          <w:lang w:val="en-US" w:eastAsia="zh-CN" w:bidi="ar-SA"/>
        </w:rPr>
        <w:t xml:space="preserve"> 16:100-102.</w:t>
      </w: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383" w:leftChars="0" w:right="0" w:hanging="283" w:firstLineChars="0"/>
        <w:rPr>
          <w:rFonts w:ascii="Calibri"/>
        </w:rPr>
      </w:pPr>
      <w:r>
        <w:rPr>
          <w:sz w:val="18"/>
        </w:rPr>
        <w:t xml:space="preserve"> 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zh-CN" w:bidi="ar-SA"/>
        </w:rPr>
        <w:t>Jiwen Yang,Limin Bu, Jia Liu(2013)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>Clinical observation of esotropia caused by Botulinum toxin A injection for forehead wrinkles</w:t>
      </w:r>
      <w:r>
        <w:rPr>
          <w:rFonts w:hint="eastAsia" w:ascii="Calibri" w:hAnsi="Calibri" w:eastAsia="宋体" w:cs="Calibri"/>
          <w:b w:val="0"/>
          <w:bCs w:val="0"/>
          <w:sz w:val="18"/>
          <w:szCs w:val="22"/>
          <w:lang w:val="en-US" w:eastAsia="zh-CN" w:bidi="ar-SA"/>
        </w:rPr>
        <w:t>.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>Chinese Journal of Practical Ophthalmology</w:t>
      </w:r>
      <w:r>
        <w:rPr>
          <w:rFonts w:hint="eastAsia" w:ascii="Calibri" w:hAnsi="Calibri" w:eastAsia="宋体" w:cs="Calibri"/>
          <w:b w:val="0"/>
          <w:bCs w:val="0"/>
          <w:sz w:val="18"/>
          <w:szCs w:val="22"/>
          <w:lang w:val="en-US" w:eastAsia="zh-CN" w:bidi="ar-SA"/>
        </w:rPr>
        <w:t xml:space="preserve"> 31:618-619.</w:t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383" w:leftChars="0" w:right="0" w:hanging="283" w:firstLineChars="0"/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zh-CN" w:bidi="ar-SA"/>
        </w:rPr>
      </w:pP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zh-CN" w:bidi="ar-SA"/>
        </w:rPr>
        <w:t>Jiwen Yang,Limin Bu,Huifang Ji(2012)</w:t>
      </w:r>
      <w:r>
        <w:rPr>
          <w:rFonts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 xml:space="preserve"> 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>Clinical observation of rigid gas permeable contact lenses for children with high myopia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zh-CN" w:bidi="ar-SA"/>
        </w:rPr>
        <w:t>.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>Recent Advances in Ophthalmology</w:t>
      </w:r>
      <w:r>
        <w:rPr>
          <w:rFonts w:hint="eastAsia" w:ascii="Calibri" w:hAnsi="Calibri" w:eastAsia="宋体" w:cs="Calibri"/>
          <w:b w:val="0"/>
          <w:bCs w:val="0"/>
          <w:sz w:val="18"/>
          <w:szCs w:val="22"/>
          <w:lang w:val="en-US" w:eastAsia="zh-CN" w:bidi="ar-SA"/>
        </w:rPr>
        <w:t xml:space="preserve"> 32:</w:t>
      </w:r>
      <w:r>
        <w:rPr>
          <w:rFonts w:hint="eastAsia" w:ascii="Calibri" w:hAnsi="Calibri" w:eastAsia="Calibri" w:cs="Calibri"/>
          <w:b w:val="0"/>
          <w:bCs w:val="0"/>
          <w:sz w:val="18"/>
          <w:szCs w:val="22"/>
          <w:lang w:val="en-US" w:eastAsia="zh-CN" w:bidi="ar-SA"/>
        </w:rPr>
        <w:t>175-176,180.</w:t>
      </w:r>
    </w:p>
    <w:p>
      <w:pPr>
        <w:spacing w:line="200" w:lineRule="exact"/>
        <w:jc w:val="both"/>
        <w:rPr>
          <w:rFonts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sectPr>
          <w:type w:val="continuous"/>
          <w:pgSz w:w="11910" w:h="16840"/>
          <w:pgMar w:top="1740" w:right="600" w:bottom="840" w:left="620" w:header="720" w:footer="720" w:gutter="0"/>
          <w:cols w:equalWidth="0" w:num="2">
            <w:col w:w="5214" w:space="138"/>
            <w:col w:w="5338"/>
          </w:cols>
        </w:sectPr>
      </w:pPr>
      <w:r>
        <w:rPr>
          <w:rFonts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t xml:space="preserve">   </w:t>
      </w:r>
    </w:p>
    <w:p>
      <w:pPr>
        <w:pStyle w:val="6"/>
        <w:rPr>
          <w:rFonts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</w:pPr>
      <w:r>
        <w:rPr>
          <w:rFonts w:ascii="Calibri" w:hAnsi="Calibri" w:eastAsia="Calibri" w:cs="Calibri"/>
          <w:b w:val="0"/>
          <w:bCs w:val="0"/>
          <w:sz w:val="18"/>
          <w:szCs w:val="22"/>
          <w:lang w:val="en-US" w:eastAsia="en-US" w:bidi="ar-SA"/>
        </w:rPr>
        <w:drawing>
          <wp:inline distT="0" distB="0" distL="114300" distR="114300">
            <wp:extent cx="734695" cy="516255"/>
            <wp:effectExtent l="0" t="0" r="8255" b="17145"/>
            <wp:docPr id="12" name="图片 12" descr="62f030a55e96d063b3e295d6c1cb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2f030a55e96d063b3e295d6c1cb07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34695" cy="51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6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o:spt="203" style="height:2pt;width:313.05pt;" coordsize="6261,40" o:gfxdata="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ZJRBh1AAAAAMBAAAPAAAAAAAAAAEAIAAAACIAAABkcnMvZG93bnJldi54bWxQSwECFAAU&#10;AAAACACHTuJAd/MxkfUBAABHBAAADgAAAAAAAAABACAAAAAjAQAAZHJzL2Uyb0RvYy54bWxQSwUG&#10;AAAAAAYABgBZAQAAigUAAAAA&#10;">
                <o:lock v:ext="edit" aspectratio="f"/>
                <v:line id="Line 5" o:spid="_x0000_s1026" o:spt="20" style="position:absolute;left:20;top:20;height:0;width:6221;" filled="f" stroked="t" coordsize="21600,21600" o:gfxdata="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l7Txu5AAAA2wAA&#10;AA8AAAAAAAAAAQAgAAAAIgAAAGRycy9kb3ducmV2LnhtbFBLAQIUABQAAAAIAIdO4kAzLwWeOwAA&#10;ADkAAAAQAAAAAAAAAAEAIAAAAAgBAABkcnMvc2hhcGV4bWwueG1sUEsFBgAAAAAGAAYAWwEAALID&#10;AAAAAA==&#10;">
                  <v:fill on="f" focussize="0,0"/>
                  <v:stroke weight="2pt" color="#00408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spacing w:before="92"/>
        <w:ind w:right="4234"/>
        <w:rPr>
          <w:rFonts w:ascii="Arial"/>
        </w:rPr>
      </w:pPr>
      <w:r>
        <w:t xml:space="preserve">              </w:t>
      </w:r>
      <w:r>
        <w:rPr>
          <w:rFonts w:ascii="Arial"/>
          <w:color w:val="BF5A14"/>
        </w:rPr>
        <w:t>Biography (150 word limit)</w:t>
      </w:r>
    </w:p>
    <w:p>
      <w:pPr>
        <w:spacing w:before="41" w:line="154" w:lineRule="exact"/>
        <w:ind w:left="213" w:right="231"/>
        <w:jc w:val="both"/>
        <w:rPr>
          <w:rFonts w:hint="eastAsia" w:ascii="Arial"/>
          <w:sz w:val="14"/>
        </w:rPr>
      </w:pPr>
      <w:r>
        <w:rPr>
          <w:rFonts w:hint="eastAsia" w:ascii="Arial"/>
          <w:sz w:val="14"/>
          <w:lang w:val="en-US" w:eastAsia="zh-CN"/>
        </w:rPr>
        <w:t>Prof</w:t>
      </w:r>
      <w:bookmarkStart w:id="0" w:name="_GoBack"/>
      <w:bookmarkEnd w:id="0"/>
      <w:r>
        <w:rPr>
          <w:rFonts w:hint="eastAsia" w:ascii="Arial"/>
          <w:sz w:val="14"/>
          <w:lang w:eastAsia="zh-CN"/>
        </w:rPr>
        <w:t>.</w:t>
      </w:r>
      <w:r>
        <w:rPr>
          <w:rFonts w:hint="eastAsia" w:ascii="Arial"/>
          <w:sz w:val="14"/>
          <w:lang w:val="en-US" w:eastAsia="zh-CN"/>
        </w:rPr>
        <w:t xml:space="preserve"> </w:t>
      </w:r>
      <w:r>
        <w:rPr>
          <w:rFonts w:hint="eastAsia" w:ascii="Arial"/>
          <w:sz w:val="14"/>
          <w:lang w:eastAsia="zh-CN"/>
        </w:rPr>
        <w:t>Yang</w:t>
      </w:r>
      <w:r>
        <w:rPr>
          <w:rFonts w:hint="eastAsia" w:ascii="Arial"/>
          <w:sz w:val="14"/>
          <w:lang w:val="en-US" w:eastAsia="zh-CN"/>
        </w:rPr>
        <w:t xml:space="preserve"> </w:t>
      </w:r>
      <w:r>
        <w:rPr>
          <w:rFonts w:hint="eastAsia" w:ascii="Arial"/>
          <w:sz w:val="14"/>
          <w:lang w:eastAsia="zh-CN"/>
        </w:rPr>
        <w:t>got</w:t>
      </w:r>
      <w:r>
        <w:rPr>
          <w:rFonts w:hint="eastAsia" w:ascii="Arial"/>
          <w:sz w:val="14"/>
        </w:rPr>
        <w:t xml:space="preserve"> a master's degree</w:t>
      </w:r>
      <w:r>
        <w:rPr>
          <w:rFonts w:hint="eastAsia" w:ascii="Arial"/>
          <w:sz w:val="14"/>
          <w:lang w:eastAsia="zh-CN"/>
        </w:rPr>
        <w:t xml:space="preserve"> of </w:t>
      </w:r>
      <w:r>
        <w:rPr>
          <w:rFonts w:hint="eastAsia" w:ascii="Arial"/>
          <w:sz w:val="14"/>
        </w:rPr>
        <w:t>Strabismus and Pediatric ophthalmology</w:t>
      </w:r>
      <w:r>
        <w:rPr>
          <w:rFonts w:hint="eastAsia" w:ascii="Arial" w:eastAsia="宋体"/>
          <w:sz w:val="14"/>
          <w:lang w:val="en-US" w:eastAsia="zh-CN"/>
        </w:rPr>
        <w:t xml:space="preserve"> </w:t>
      </w:r>
      <w:r>
        <w:rPr>
          <w:rFonts w:hint="eastAsia" w:ascii="Arial"/>
          <w:sz w:val="14"/>
          <w:lang w:eastAsia="zh-CN"/>
        </w:rPr>
        <w:t>i</w:t>
      </w:r>
      <w:r>
        <w:rPr>
          <w:rFonts w:hint="eastAsia" w:ascii="Arial"/>
          <w:sz w:val="14"/>
        </w:rPr>
        <w:t>n 2005</w:t>
      </w:r>
      <w:r>
        <w:rPr>
          <w:rFonts w:hint="eastAsia" w:ascii="Arial"/>
          <w:sz w:val="14"/>
          <w:lang w:eastAsia="zh-CN"/>
        </w:rPr>
        <w:t>, then obtained</w:t>
      </w:r>
      <w:r>
        <w:rPr>
          <w:rFonts w:hint="eastAsia" w:ascii="Arial"/>
          <w:sz w:val="14"/>
        </w:rPr>
        <w:t xml:space="preserve"> P</w:t>
      </w:r>
      <w:r>
        <w:rPr>
          <w:rFonts w:hint="eastAsia" w:ascii="Arial"/>
          <w:sz w:val="14"/>
          <w:lang w:eastAsia="zh-CN"/>
        </w:rPr>
        <w:t>h.D</w:t>
      </w:r>
      <w:r>
        <w:rPr>
          <w:rFonts w:hint="eastAsia" w:ascii="Arial"/>
          <w:sz w:val="14"/>
        </w:rPr>
        <w:t xml:space="preserve"> of Optometry from China Medical University in 2008 . </w:t>
      </w:r>
      <w:r>
        <w:rPr>
          <w:rFonts w:hint="eastAsia" w:ascii="Arial" w:eastAsia="宋体"/>
          <w:sz w:val="14"/>
          <w:lang w:val="en-US" w:eastAsia="zh-CN"/>
        </w:rPr>
        <w:t>She</w:t>
      </w:r>
      <w:r>
        <w:rPr>
          <w:rFonts w:hint="eastAsia" w:ascii="Arial"/>
          <w:sz w:val="14"/>
        </w:rPr>
        <w:t xml:space="preserve"> engages in clinical work and scientific research</w:t>
      </w:r>
      <w:r>
        <w:rPr>
          <w:rFonts w:hint="eastAsia" w:ascii="Arial" w:eastAsia="宋体"/>
          <w:sz w:val="14"/>
          <w:lang w:val="en-US" w:eastAsia="zh-CN"/>
        </w:rPr>
        <w:t>,</w:t>
      </w:r>
      <w:r>
        <w:rPr>
          <w:rFonts w:hint="eastAsia" w:ascii="Arial"/>
          <w:sz w:val="14"/>
        </w:rPr>
        <w:t xml:space="preserve">especially in diagnosis and treatment of strabismus, amblyopia and refractive error. </w:t>
      </w:r>
      <w:r>
        <w:rPr>
          <w:rFonts w:hint="eastAsia" w:ascii="Arial"/>
          <w:sz w:val="14"/>
          <w:lang w:eastAsia="zh-CN"/>
        </w:rPr>
        <w:t>She</w:t>
      </w:r>
      <w:r>
        <w:rPr>
          <w:rFonts w:hint="eastAsia" w:ascii="Arial"/>
          <w:sz w:val="14"/>
        </w:rPr>
        <w:t xml:space="preserve"> has complete</w:t>
      </w:r>
      <w:r>
        <w:rPr>
          <w:rFonts w:hint="eastAsia" w:ascii="Arial"/>
          <w:sz w:val="14"/>
          <w:lang w:eastAsia="zh-CN"/>
        </w:rPr>
        <w:t>d</w:t>
      </w:r>
      <w:r>
        <w:rPr>
          <w:rFonts w:hint="eastAsia" w:ascii="Arial"/>
          <w:sz w:val="14"/>
        </w:rPr>
        <w:t xml:space="preserve"> tens of thousands strabismus correction surgery , including horizonal , vertical and rotating strabismus correction , and has fitted with Ortho-K lense and </w:t>
      </w:r>
      <w:r>
        <w:rPr>
          <w:rFonts w:hint="eastAsia" w:ascii="Arial"/>
          <w:sz w:val="14"/>
          <w:lang w:eastAsia="zh-CN"/>
        </w:rPr>
        <w:t>RGP</w:t>
      </w:r>
      <w:r>
        <w:rPr>
          <w:rFonts w:hint="eastAsia" w:ascii="Arial"/>
          <w:sz w:val="14"/>
        </w:rPr>
        <w:t xml:space="preserve"> for tens of thousands patients with myopia or astigmatism</w:t>
      </w:r>
      <w:r>
        <w:rPr>
          <w:rFonts w:hint="eastAsia" w:ascii="Arial"/>
          <w:sz w:val="14"/>
          <w:lang w:eastAsia="zh-CN"/>
        </w:rPr>
        <w:t>.</w:t>
      </w:r>
      <w:r>
        <w:rPr>
          <w:rFonts w:hint="eastAsia" w:ascii="Arial"/>
          <w:sz w:val="14"/>
        </w:rPr>
        <w:t xml:space="preserve"> </w:t>
      </w:r>
    </w:p>
    <w:p>
      <w:pPr>
        <w:spacing w:before="41" w:line="154" w:lineRule="exact"/>
        <w:ind w:left="213" w:right="231"/>
        <w:jc w:val="both"/>
        <w:rPr>
          <w:rFonts w:hint="default" w:ascii="Arial" w:eastAsia="宋体"/>
          <w:sz w:val="14"/>
          <w:lang w:val="en-US" w:eastAsia="zh-CN"/>
        </w:rPr>
      </w:pPr>
      <w:r>
        <w:rPr>
          <w:rFonts w:hint="eastAsia" w:ascii="Arial"/>
          <w:sz w:val="14"/>
          <w:lang w:val="en-US" w:eastAsia="zh-CN"/>
        </w:rPr>
        <w:t>She</w:t>
      </w:r>
      <w:r>
        <w:rPr>
          <w:rFonts w:hint="eastAsia" w:ascii="Arial"/>
          <w:sz w:val="14"/>
          <w:lang w:eastAsia="zh-CN"/>
        </w:rPr>
        <w:t xml:space="preserve"> is the </w:t>
      </w:r>
      <w:r>
        <w:rPr>
          <w:rFonts w:hint="eastAsia" w:ascii="Arial"/>
          <w:sz w:val="14"/>
        </w:rPr>
        <w:t>master tutor</w:t>
      </w:r>
      <w:r>
        <w:rPr>
          <w:rFonts w:hint="eastAsia" w:ascii="Arial"/>
          <w:sz w:val="14"/>
          <w:lang w:eastAsia="zh-CN"/>
        </w:rPr>
        <w:t xml:space="preserve"> of </w:t>
      </w:r>
      <w:r>
        <w:rPr>
          <w:rFonts w:hint="eastAsia" w:ascii="Arial"/>
          <w:sz w:val="14"/>
        </w:rPr>
        <w:t xml:space="preserve"> Central South University</w:t>
      </w:r>
      <w:r>
        <w:rPr>
          <w:rFonts w:hint="eastAsia" w:ascii="Arial" w:eastAsia="宋体"/>
          <w:sz w:val="14"/>
          <w:lang w:val="en-US" w:eastAsia="zh-CN"/>
        </w:rPr>
        <w:t>,</w:t>
      </w:r>
      <w:r>
        <w:rPr>
          <w:rFonts w:hint="eastAsia" w:ascii="Arial"/>
          <w:sz w:val="14"/>
          <w:lang w:eastAsia="zh-CN"/>
        </w:rPr>
        <w:t>had c</w:t>
      </w:r>
      <w:r>
        <w:rPr>
          <w:rFonts w:hint="eastAsia" w:ascii="Arial"/>
          <w:sz w:val="14"/>
        </w:rPr>
        <w:t xml:space="preserve">ompleted </w:t>
      </w:r>
      <w:r>
        <w:rPr>
          <w:rFonts w:hint="eastAsia" w:ascii="Arial" w:eastAsia="宋体"/>
          <w:sz w:val="14"/>
          <w:lang w:val="en-US" w:eastAsia="zh-CN"/>
        </w:rPr>
        <w:t>mang</w:t>
      </w:r>
      <w:r>
        <w:rPr>
          <w:rFonts w:hint="eastAsia" w:ascii="Arial"/>
          <w:sz w:val="14"/>
        </w:rPr>
        <w:t xml:space="preserve"> provincial projects,</w:t>
      </w:r>
      <w:r>
        <w:rPr>
          <w:rFonts w:hint="eastAsia" w:ascii="Arial"/>
          <w:sz w:val="14"/>
          <w:lang w:eastAsia="zh-CN"/>
        </w:rPr>
        <w:t>received</w:t>
      </w:r>
      <w:r>
        <w:rPr>
          <w:rFonts w:hint="eastAsia" w:ascii="Arial"/>
          <w:sz w:val="14"/>
        </w:rPr>
        <w:t xml:space="preserve"> two items of Shenyang new technology award</w:t>
      </w:r>
      <w:r>
        <w:rPr>
          <w:rFonts w:hint="eastAsia" w:ascii="Arial" w:eastAsia="宋体"/>
          <w:sz w:val="14"/>
          <w:lang w:val="en-US" w:eastAsia="zh-CN"/>
        </w:rPr>
        <w:t>s</w:t>
      </w:r>
      <w:r>
        <w:rPr>
          <w:rFonts w:hint="eastAsia" w:ascii="Arial"/>
          <w:sz w:val="14"/>
        </w:rPr>
        <w:t xml:space="preserve">, </w:t>
      </w:r>
      <w:r>
        <w:rPr>
          <w:rFonts w:hint="eastAsia" w:ascii="Arial" w:eastAsia="宋体"/>
          <w:sz w:val="14"/>
          <w:lang w:val="en-US" w:eastAsia="zh-CN"/>
        </w:rPr>
        <w:t>two</w:t>
      </w:r>
      <w:r>
        <w:rPr>
          <w:rFonts w:hint="eastAsia" w:ascii="Arial"/>
          <w:sz w:val="14"/>
        </w:rPr>
        <w:t xml:space="preserve"> project</w:t>
      </w:r>
      <w:r>
        <w:rPr>
          <w:rFonts w:hint="eastAsia" w:ascii="Arial" w:eastAsia="宋体"/>
          <w:sz w:val="14"/>
          <w:lang w:val="en-US" w:eastAsia="zh-CN"/>
        </w:rPr>
        <w:t>s</w:t>
      </w:r>
      <w:r>
        <w:rPr>
          <w:rFonts w:hint="eastAsia" w:ascii="Arial"/>
          <w:sz w:val="14"/>
        </w:rPr>
        <w:t xml:space="preserve"> sponsored by Health Development Planning Commission of Hunan province，</w:t>
      </w:r>
      <w:r>
        <w:rPr>
          <w:rFonts w:hint="eastAsia" w:ascii="Arial"/>
          <w:sz w:val="14"/>
          <w:lang w:eastAsia="zh-CN"/>
        </w:rPr>
        <w:t>p</w:t>
      </w:r>
      <w:r>
        <w:rPr>
          <w:rFonts w:hint="eastAsia" w:ascii="Arial"/>
          <w:sz w:val="14"/>
        </w:rPr>
        <w:t>articipat</w:t>
      </w:r>
      <w:r>
        <w:rPr>
          <w:rFonts w:hint="eastAsia" w:ascii="Arial"/>
          <w:sz w:val="14"/>
          <w:lang w:eastAsia="zh-CN"/>
        </w:rPr>
        <w:t>ed</w:t>
      </w:r>
      <w:r>
        <w:rPr>
          <w:rFonts w:hint="eastAsia" w:ascii="Arial"/>
          <w:sz w:val="14"/>
        </w:rPr>
        <w:t xml:space="preserve"> in formulating professional criteria of diagnosis and treatment criteria of strabismus of national third-level hospital</w:t>
      </w:r>
      <w:r>
        <w:rPr>
          <w:rFonts w:hint="eastAsia" w:ascii="Arial" w:eastAsia="宋体"/>
          <w:sz w:val="14"/>
          <w:lang w:val="en-US" w:eastAsia="zh-CN"/>
        </w:rPr>
        <w:t xml:space="preserve">,making </w:t>
      </w:r>
      <w:r>
        <w:rPr>
          <w:rFonts w:hint="eastAsia" w:ascii="Arial"/>
          <w:sz w:val="14"/>
        </w:rPr>
        <w:t xml:space="preserve"> many times of presentation in domestic and foreign academic conference</w:t>
      </w:r>
      <w:r>
        <w:rPr>
          <w:rFonts w:hint="eastAsia" w:ascii="Arial" w:eastAsia="宋体"/>
          <w:sz w:val="14"/>
          <w:lang w:val="en-US" w:eastAsia="zh-CN"/>
        </w:rPr>
        <w:t>s</w:t>
      </w:r>
      <w:r>
        <w:rPr>
          <w:rFonts w:hint="eastAsia" w:ascii="Arial"/>
          <w:sz w:val="14"/>
        </w:rPr>
        <w:t>，</w:t>
      </w:r>
      <w:r>
        <w:rPr>
          <w:rFonts w:hint="eastAsia" w:ascii="Arial"/>
          <w:sz w:val="14"/>
          <w:lang w:eastAsia="zh-CN"/>
        </w:rPr>
        <w:t>d</w:t>
      </w:r>
      <w:r>
        <w:rPr>
          <w:rFonts w:hint="eastAsia" w:ascii="Arial"/>
          <w:sz w:val="14"/>
        </w:rPr>
        <w:t>oing academic communication to the United States</w:t>
      </w:r>
      <w:r>
        <w:rPr>
          <w:rFonts w:hint="eastAsia" w:ascii="Arial" w:eastAsia="宋体"/>
          <w:sz w:val="14"/>
          <w:lang w:val="en-US" w:eastAsia="zh-CN"/>
        </w:rPr>
        <w:t>,</w:t>
      </w:r>
      <w:r>
        <w:rPr>
          <w:rFonts w:hint="eastAsia" w:ascii="Arial"/>
          <w:sz w:val="14"/>
        </w:rPr>
        <w:t>Japan</w:t>
      </w:r>
      <w:r>
        <w:rPr>
          <w:rFonts w:hint="eastAsia" w:ascii="Arial" w:eastAsia="宋体"/>
          <w:sz w:val="14"/>
          <w:lang w:val="en-US" w:eastAsia="zh-CN"/>
        </w:rPr>
        <w:t xml:space="preserve"> </w:t>
      </w:r>
      <w:r>
        <w:rPr>
          <w:rFonts w:hint="eastAsia" w:ascii="Arial"/>
          <w:sz w:val="14"/>
        </w:rPr>
        <w:t xml:space="preserve">and </w:t>
      </w:r>
      <w:r>
        <w:rPr>
          <w:rFonts w:hint="eastAsia" w:ascii="Arial" w:eastAsia="宋体"/>
          <w:sz w:val="14"/>
          <w:lang w:val="en-US" w:eastAsia="zh-CN"/>
        </w:rPr>
        <w:t>so on.</w:t>
      </w:r>
    </w:p>
    <w:p>
      <w:pPr>
        <w:spacing w:before="62"/>
        <w:ind w:right="4235" w:firstLine="4200" w:firstLineChars="3000"/>
        <w:jc w:val="both"/>
        <w:rPr>
          <w:rFonts w:ascii="Arial"/>
          <w:sz w:val="29"/>
        </w:rPr>
      </w:pPr>
      <w:r>
        <w:rPr>
          <w:rFonts w:ascii="Arial"/>
          <w:sz w:val="14"/>
        </w:rPr>
        <w:t xml:space="preserve">Email: </w:t>
      </w:r>
      <w:r>
        <w:fldChar w:fldCharType="begin"/>
      </w:r>
      <w:r>
        <w:instrText xml:space="preserve"> HYPERLINK "mailto:drXXXXXXX@xxxmail.com" </w:instrText>
      </w:r>
      <w:r>
        <w:fldChar w:fldCharType="separate"/>
      </w:r>
      <w:r>
        <w:rPr>
          <w:rStyle w:val="14"/>
          <w:rFonts w:hint="eastAsia" w:ascii="Arial" w:eastAsia="宋体"/>
          <w:sz w:val="14"/>
          <w:lang w:val="en-US" w:eastAsia="zh-CN"/>
        </w:rPr>
        <w:t>yangjiwen</w:t>
      </w:r>
      <w:r>
        <w:rPr>
          <w:rStyle w:val="14"/>
          <w:rFonts w:ascii="Arial"/>
          <w:sz w:val="14"/>
        </w:rPr>
        <w:t>@</w:t>
      </w:r>
      <w:r>
        <w:rPr>
          <w:rStyle w:val="14"/>
          <w:rFonts w:hint="eastAsia" w:ascii="Arial" w:eastAsia="宋体"/>
          <w:sz w:val="14"/>
          <w:lang w:val="en-US" w:eastAsia="zh-CN"/>
        </w:rPr>
        <w:t>aierchina</w:t>
      </w:r>
      <w:r>
        <w:rPr>
          <w:rStyle w:val="14"/>
          <w:rFonts w:ascii="Arial"/>
          <w:sz w:val="14"/>
        </w:rPr>
        <w:t>.com</w:t>
      </w:r>
      <w:r>
        <w:rPr>
          <w:rStyle w:val="14"/>
          <w:rFonts w:ascii="Arial"/>
          <w:sz w:val="14"/>
        </w:rPr>
        <w:fldChar w:fldCharType="end"/>
      </w:r>
      <w:r>
        <w:rPr>
          <w:lang w:val="en-IN" w:eastAsia="en-IN"/>
        </w:rPr>
        <mc:AlternateContent>
          <mc:Choice Requires="wps">
            <w:drawing>
              <wp:anchor distT="0" distB="0" distL="0" distR="0" simplePos="0" relativeHeight="204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162.1pt;margin-top:13.25pt;height:0pt;width:271.05pt;mso-position-horizontal-relative:page;mso-wrap-distance-bottom:0pt;mso-wrap-distance-top:0pt;z-index:2048;mso-width-relative:page;mso-height-relative:page;" filled="f" stroked="t" coordsize="21600,21600" o:gfxdata="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OKUBv&#10;1gAAAAkBAAAPAAAAAAAAAAEAIAAAACIAAABkcnMvZG93bnJldi54bWxQSwECFAAUAAAACACHTuJA&#10;mnOm17EBAABSAwAADgAAAAAAAAABACAAAAAlAQAAZHJzL2Uyb0RvYy54bWxQSwUGAAAAAAYABgBZ&#10;AQAASAUAAAAA&#10;">
                <v:fill on="f" focussize="0,0"/>
                <v:stroke weight="0.5pt" color="#00408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>
      <w:pPr>
        <w:rPr>
          <w:rFonts w:ascii="Minion Pro"/>
          <w:sz w:val="24"/>
        </w:rPr>
        <w:sectPr>
          <w:type w:val="continuous"/>
          <w:pgSz w:w="11910" w:h="16840"/>
          <w:pgMar w:top="1740" w:right="600" w:bottom="840" w:left="620" w:header="720" w:footer="720" w:gutter="0"/>
          <w:cols w:space="720" w:num="1"/>
        </w:sectPr>
      </w:pPr>
    </w:p>
    <w:p>
      <w:pPr>
        <w:pStyle w:val="6"/>
        <w:spacing w:before="3"/>
        <w:rPr>
          <w:rFonts w:ascii="Minion Pro"/>
          <w:sz w:val="26"/>
        </w:rPr>
      </w:pPr>
    </w:p>
    <w:sectPr>
      <w:type w:val="continuous"/>
      <w:pgSz w:w="11910" w:h="16840"/>
      <w:pgMar w:top="1740" w:right="580" w:bottom="840" w:left="620" w:header="720" w:footer="720" w:gutter="0"/>
      <w:cols w:equalWidth="0" w:num="2">
        <w:col w:w="5214" w:space="138"/>
        <w:col w:w="535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Myriad Pro">
    <w:altName w:val="Corbe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 Pain Relief</w:t>
                          </w:r>
                        </w:p>
                        <w:p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type="#_x0000_t202" style="position:absolute;left:0pt;margin-left:35pt;margin-top:798.8pt;height:19.6pt;width:168.2pt;mso-position-horizontal-relative:page;mso-position-vertical-relative:page;z-index:-5120;mso-width-relative:page;mso-height-relative:page;" filled="f" stroked="f" coordsize="21600,21600" o:gfxdata="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AJbqTaAAAA&#10;DAEAAA8AAAAAAAAAAQAgAAAAIgAAAGRycy9kb3ducmV2LnhtbFBLAQIUABQAAAAIAIdO4kCAkC5P&#10;4gEAALYDAAAOAAAAAAAAAAEAIAAAACk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 Pain Relief</w:t>
                    </w:r>
                  </w:p>
                  <w:p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ISSN: 2167-0846 JPAR an open access journa</w:t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Fibromyalgia 2016</w:t>
                          </w:r>
                        </w:p>
                        <w:p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252.1pt;margin-top:799.05pt;height:24.95pt;width:91.9pt;mso-position-horizontal-relative:page;mso-position-vertical-relative:page;z-index:-5120;mso-width-relative:page;mso-height-relative:page;" filled="f" stroked="f" coordsize="21600,21600" o:gfxdata="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fgNYJNoAAAAN&#10;AQAADwAAAAAAAAABACAAAAAiAAAAZHJzL2Rvd25yZXYueG1sUEsBAhQAFAAAAAgAh07iQFvRWTvh&#10;AQAAtgMAAA4AAAAAAAAAAQAgAAAAKQ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Fibromyalgia 2016</w:t>
                    </w:r>
                  </w:p>
                  <w:p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Volume 5, Issue 3(Suppl)</w:t>
                          </w:r>
                        </w:p>
                        <w:p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inion Pro"/>
                              <w:color w:val="FFFFFF" w:themeColor="background1"/>
                              <w:sz w:val="16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68.9pt;margin-top:798.8pt;height:26.05pt;width:91.4pt;mso-position-horizontal-relative:page;mso-position-vertical-relative:page;z-index:-5120;mso-width-relative:page;mso-height-relative:page;" filled="f" stroked="f" coordsize="21600,21600" o:gfxdata="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wbMZ2dsAAAAO&#10;AQAADwAAAAAAAAABACAAAAAiAAAAZHJzL2Rvd25yZXYueG1sUEsBAhQAFAAAAAgAh07iQAokTj3g&#10;AQAAtgMAAA4AAAAAAAAAAQAgAAAAK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Volume 5, Issue 3(Suppl)</w:t>
                    </w:r>
                  </w:p>
                  <w:p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inion Pro"/>
                        <w:color w:val="FFFFFF" w:themeColor="background1"/>
                        <w:sz w:val="16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T Furuta et al., J Pai n Relief 2016, 5:3(Suppl) </w:t>
                          </w:r>
                          <w:r>
                            <w:fldChar w:fldCharType="begin"/>
                          </w:r>
                          <w:r>
                            <w:instrText xml:space="preserve"> HYPERLINK "http://dx.doi.org/10.4172/2167-0846.C1.006"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http://dx.doi.org/10.4172/2167-0846.C1.006</w:t>
                          </w:r>
                          <w:r>
                            <w:rPr>
                              <w:rFonts w:ascii="Arial"/>
                              <w:color w:val="FFFFFF" w:themeColor="background1"/>
                              <w:sz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416pt;margin-top:26.05pt;height:17.4pt;width:144.3pt;mso-position-horizontal-relative:page;mso-position-vertical-relative:page;z-index:-5120;mso-width-relative:page;mso-height-relative:page;" filled="f" stroked="f" coordsize="21600,21600" o:gfxdata="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p1iuI2QAAAAoB&#10;AAAPAAAAAAAAAAEAIAAAACIAAABkcnMvZG93bnJldi54bWxQSwECFAAUAAAACACHTuJAWRO2/OEB&#10;AAC3AwAADgAAAAAAAAABACAAAAAoAQAAZHJzL2Uyb0RvYy54bWxQSwUGAAAAAAYABgBZAQAAew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T Furuta et al., J Pai n Relief 2016, 5:3(Suppl) </w:t>
                    </w:r>
                    <w:r>
                      <w:fldChar w:fldCharType="begin"/>
                    </w:r>
                    <w:r>
                      <w:instrText xml:space="preserve"> HYPERLINK "http://dx.doi.org/10.4172/2167-0846.C1.006" \h </w:instrText>
                    </w:r>
                    <w:r>
                      <w:fldChar w:fldCharType="separate"/>
                    </w: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http://dx.doi.org/10.4172/2167-0846.C1.006</w:t>
                    </w:r>
                    <w:r>
                      <w:rPr>
                        <w:rFonts w:ascii="Arial"/>
                        <w:color w:val="FFFFFF" w:themeColor="background1"/>
                        <w:sz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lang w:val="en-IN" w:eastAsia="en-IN"/>
      </w:rPr>
      <mc:AlternateContent>
        <mc:Choice Requires="wps">
          <w:drawing>
            <wp:anchor distT="0" distB="0" distL="114300" distR="114300" simplePos="0" relativeHeight="50331136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Myriad Pro"/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International Conference on</w:t>
                          </w:r>
                        </w:p>
                        <w:p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Impact"/>
                              <w:color w:val="FFFFFF" w:themeColor="background1"/>
                              <w:sz w:val="52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/>
                              <w:color w:val="FFFFFF" w:themeColor="background1"/>
                              <w:sz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4" o:spid="_x0000_s1026" o:spt="202" type="#_x0000_t202" style="position:absolute;left:0pt;margin-left:35pt;margin-top:48.3pt;height:40.1pt;width:515.95pt;mso-position-horizontal-relative:page;mso-position-vertical-relative:page;z-index:-5120;mso-width-relative:page;mso-height-relative:page;" filled="f" stroked="f" coordsize="21600,21600" o:gfxdata="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ML0Fa2AAAAAoB&#10;AAAPAAAAAAAAAAEAIAAAACIAAABkcnMvZG93bnJldi54bWxQSwECFAAUAAAACACHTuJAsUFBEuIB&#10;AAC3AwAADgAAAAAAAAABACAAAAAnAQAAZHJzL2Uyb0RvYy54bWxQSwUGAAAAAAYABgBZAQAAewUA&#10;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6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Myriad Pro"/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International Conference on</w:t>
                    </w:r>
                  </w:p>
                  <w:p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ascii="Impact"/>
                        <w:color w:val="FFFFFF" w:themeColor="background1"/>
                        <w:sz w:val="52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Fibromyalgia and Chronic Pain </w:t>
                    </w:r>
                    <w:r>
                      <w:rPr>
                        <w:rFonts w:ascii="Minion Pro"/>
                        <w:color w:val="FFFFFF" w:themeColor="background1"/>
                        <w:sz w:val="2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(June 15-16, 2016   Philadelphia, USA)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multilevel"/>
    <w:tmpl w:val="31C80552"/>
    <w:lvl w:ilvl="0" w:tentative="0">
      <w:start w:val="1"/>
      <w:numFmt w:val="decimal"/>
      <w:lvlText w:val="%1."/>
      <w:lvlJc w:val="left"/>
      <w:pPr>
        <w:ind w:left="383" w:hanging="284"/>
      </w:pPr>
      <w:rPr>
        <w:rFonts w:hint="default" w:ascii="Calibri" w:hAnsi="Calibri" w:eastAsia="Calibri" w:cs="Calibri"/>
        <w:spacing w:val="-16"/>
        <w:w w:val="100"/>
        <w:sz w:val="18"/>
        <w:szCs w:val="18"/>
      </w:rPr>
    </w:lvl>
    <w:lvl w:ilvl="1" w:tentative="0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entative="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entative="0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entative="0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entative="0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entative="0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entative="0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entative="0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183E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03FCF"/>
    <w:rsid w:val="008703A7"/>
    <w:rsid w:val="00873DF0"/>
    <w:rsid w:val="008756E6"/>
    <w:rsid w:val="009B2D44"/>
    <w:rsid w:val="00A07E82"/>
    <w:rsid w:val="00A92311"/>
    <w:rsid w:val="00A9710C"/>
    <w:rsid w:val="00AE3E37"/>
    <w:rsid w:val="00AE6F28"/>
    <w:rsid w:val="00B21A57"/>
    <w:rsid w:val="00C33602"/>
    <w:rsid w:val="00CB7125"/>
    <w:rsid w:val="00CD6F55"/>
    <w:rsid w:val="00DD780E"/>
    <w:rsid w:val="00DE3104"/>
    <w:rsid w:val="00F72EEA"/>
    <w:rsid w:val="00F84CAE"/>
    <w:rsid w:val="026E50A7"/>
    <w:rsid w:val="027A45BC"/>
    <w:rsid w:val="02920486"/>
    <w:rsid w:val="060C330D"/>
    <w:rsid w:val="06AB35E7"/>
    <w:rsid w:val="09657F05"/>
    <w:rsid w:val="0BF37F36"/>
    <w:rsid w:val="0EB30538"/>
    <w:rsid w:val="10FB1880"/>
    <w:rsid w:val="13565041"/>
    <w:rsid w:val="14CC71C4"/>
    <w:rsid w:val="15592637"/>
    <w:rsid w:val="168A0C7A"/>
    <w:rsid w:val="16F80428"/>
    <w:rsid w:val="182F0988"/>
    <w:rsid w:val="19905CC4"/>
    <w:rsid w:val="1D731DBA"/>
    <w:rsid w:val="1DD10B81"/>
    <w:rsid w:val="1DEE528F"/>
    <w:rsid w:val="1F9B7D0F"/>
    <w:rsid w:val="23731156"/>
    <w:rsid w:val="239F529B"/>
    <w:rsid w:val="24AD4ADE"/>
    <w:rsid w:val="253D7095"/>
    <w:rsid w:val="271A1EE2"/>
    <w:rsid w:val="29C94EE4"/>
    <w:rsid w:val="2CF355A9"/>
    <w:rsid w:val="2E770C96"/>
    <w:rsid w:val="2FB513A0"/>
    <w:rsid w:val="3087102C"/>
    <w:rsid w:val="30F47344"/>
    <w:rsid w:val="3166512D"/>
    <w:rsid w:val="31F91EAF"/>
    <w:rsid w:val="320936EF"/>
    <w:rsid w:val="32452CD2"/>
    <w:rsid w:val="32A75E56"/>
    <w:rsid w:val="33792A67"/>
    <w:rsid w:val="34BB1CAD"/>
    <w:rsid w:val="387F4193"/>
    <w:rsid w:val="39A27FB3"/>
    <w:rsid w:val="39E05535"/>
    <w:rsid w:val="3D3232B1"/>
    <w:rsid w:val="3E393957"/>
    <w:rsid w:val="3E782F9F"/>
    <w:rsid w:val="3FA2039B"/>
    <w:rsid w:val="42CA13B5"/>
    <w:rsid w:val="431A5C43"/>
    <w:rsid w:val="486C661C"/>
    <w:rsid w:val="48764C38"/>
    <w:rsid w:val="48B17022"/>
    <w:rsid w:val="48B82176"/>
    <w:rsid w:val="48BE38F6"/>
    <w:rsid w:val="4A304735"/>
    <w:rsid w:val="4B2A006B"/>
    <w:rsid w:val="4E7534DB"/>
    <w:rsid w:val="4ED41EB7"/>
    <w:rsid w:val="4F364301"/>
    <w:rsid w:val="4F870809"/>
    <w:rsid w:val="517D095E"/>
    <w:rsid w:val="51EE223D"/>
    <w:rsid w:val="526D065B"/>
    <w:rsid w:val="527204F4"/>
    <w:rsid w:val="545D564A"/>
    <w:rsid w:val="54812317"/>
    <w:rsid w:val="554A4D68"/>
    <w:rsid w:val="566B165C"/>
    <w:rsid w:val="57E533F1"/>
    <w:rsid w:val="581660BD"/>
    <w:rsid w:val="595E18B0"/>
    <w:rsid w:val="5AA33974"/>
    <w:rsid w:val="5C24362D"/>
    <w:rsid w:val="5D3C7893"/>
    <w:rsid w:val="5EBA306D"/>
    <w:rsid w:val="5F9615E6"/>
    <w:rsid w:val="6032584C"/>
    <w:rsid w:val="609B54C8"/>
    <w:rsid w:val="60AF305D"/>
    <w:rsid w:val="61374D70"/>
    <w:rsid w:val="61446EFF"/>
    <w:rsid w:val="61CF0358"/>
    <w:rsid w:val="62057AE5"/>
    <w:rsid w:val="62BC63E1"/>
    <w:rsid w:val="637164F0"/>
    <w:rsid w:val="68262B59"/>
    <w:rsid w:val="6A3710B7"/>
    <w:rsid w:val="6BC80CF8"/>
    <w:rsid w:val="6E473075"/>
    <w:rsid w:val="6E813D9F"/>
    <w:rsid w:val="74530B8E"/>
    <w:rsid w:val="75740F13"/>
    <w:rsid w:val="77B8282C"/>
    <w:rsid w:val="78050DEF"/>
    <w:rsid w:val="799A3242"/>
    <w:rsid w:val="7AB81FAF"/>
    <w:rsid w:val="7D875290"/>
    <w:rsid w:val="7E995BDE"/>
    <w:rsid w:val="7FFA01D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w Cen MT" w:hAnsi="Tw Cen MT" w:eastAsia="Tw Cen MT" w:cs="Tw Cen M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47" w:line="400" w:lineRule="exact"/>
      <w:ind w:left="10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3">
    <w:name w:val="heading 2"/>
    <w:basedOn w:val="1"/>
    <w:next w:val="1"/>
    <w:qFormat/>
    <w:uiPriority w:val="1"/>
    <w:pPr>
      <w:ind w:left="10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4">
    <w:name w:val="heading 3"/>
    <w:basedOn w:val="1"/>
    <w:next w:val="1"/>
    <w:qFormat/>
    <w:uiPriority w:val="1"/>
    <w:pPr>
      <w:ind w:left="100"/>
      <w:outlineLvl w:val="2"/>
    </w:pPr>
    <w:rPr>
      <w:rFonts w:ascii="Arial" w:hAnsi="Arial" w:eastAsia="Arial" w:cs="Arial"/>
      <w:b/>
      <w:bCs/>
      <w:sz w:val="20"/>
      <w:szCs w:val="20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20"/>
    <w:qFormat/>
    <w:uiPriority w:val="1"/>
    <w:rPr>
      <w:sz w:val="18"/>
      <w:szCs w:val="18"/>
    </w:rPr>
  </w:style>
  <w:style w:type="paragraph" w:styleId="7">
    <w:name w:val="Balloon Text"/>
    <w:basedOn w:val="1"/>
    <w:link w:val="1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513"/>
        <w:tab w:val="right" w:pos="9026"/>
      </w:tabs>
    </w:pPr>
  </w:style>
  <w:style w:type="paragraph" w:styleId="9">
    <w:name w:val="header"/>
    <w:basedOn w:val="1"/>
    <w:link w:val="17"/>
    <w:unhideWhenUsed/>
    <w:qFormat/>
    <w:uiPriority w:val="99"/>
    <w:pPr>
      <w:tabs>
        <w:tab w:val="center" w:pos="4513"/>
        <w:tab w:val="right" w:pos="9026"/>
      </w:tabs>
    </w:pPr>
  </w:style>
  <w:style w:type="character" w:styleId="12">
    <w:name w:val="page number"/>
    <w:qFormat/>
    <w:uiPriority w:val="0"/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List Paragraph"/>
    <w:basedOn w:val="1"/>
    <w:qFormat/>
    <w:uiPriority w:val="1"/>
    <w:pPr>
      <w:spacing w:before="90" w:line="200" w:lineRule="exact"/>
      <w:ind w:left="383" w:hanging="283"/>
      <w:jc w:val="both"/>
    </w:pPr>
    <w:rPr>
      <w:rFonts w:ascii="Calibri" w:hAnsi="Calibri" w:eastAsia="Calibri" w:cs="Calibri"/>
    </w:rPr>
  </w:style>
  <w:style w:type="paragraph" w:customStyle="1" w:styleId="16">
    <w:name w:val="Table Paragraph"/>
    <w:basedOn w:val="1"/>
    <w:qFormat/>
    <w:uiPriority w:val="1"/>
  </w:style>
  <w:style w:type="character" w:customStyle="1" w:styleId="17">
    <w:name w:val="Header Char"/>
    <w:basedOn w:val="11"/>
    <w:link w:val="9"/>
    <w:uiPriority w:val="99"/>
    <w:rPr>
      <w:rFonts w:ascii="Tw Cen MT" w:hAnsi="Tw Cen MT" w:eastAsia="Tw Cen MT" w:cs="Tw Cen MT"/>
    </w:rPr>
  </w:style>
  <w:style w:type="character" w:customStyle="1" w:styleId="18">
    <w:name w:val="Footer Char"/>
    <w:basedOn w:val="11"/>
    <w:link w:val="8"/>
    <w:uiPriority w:val="99"/>
    <w:rPr>
      <w:rFonts w:ascii="Tw Cen MT" w:hAnsi="Tw Cen MT" w:eastAsia="Tw Cen MT" w:cs="Tw Cen MT"/>
    </w:rPr>
  </w:style>
  <w:style w:type="character" w:customStyle="1" w:styleId="19">
    <w:name w:val="Balloon Text Char"/>
    <w:basedOn w:val="11"/>
    <w:link w:val="7"/>
    <w:semiHidden/>
    <w:uiPriority w:val="99"/>
    <w:rPr>
      <w:rFonts w:ascii="Tahoma" w:hAnsi="Tahoma" w:eastAsia="Tw Cen MT" w:cs="Tahoma"/>
      <w:sz w:val="16"/>
      <w:szCs w:val="16"/>
    </w:rPr>
  </w:style>
  <w:style w:type="character" w:customStyle="1" w:styleId="20">
    <w:name w:val="Body Text Char"/>
    <w:basedOn w:val="11"/>
    <w:link w:val="6"/>
    <w:uiPriority w:val="1"/>
    <w:rPr>
      <w:rFonts w:ascii="Tw Cen MT" w:hAnsi="Tw Cen MT" w:eastAsia="Tw Cen MT" w:cs="Tw Cen M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542</Words>
  <Characters>3092</Characters>
  <Lines>25</Lines>
  <Paragraphs>7</Paragraphs>
  <TotalTime>2</TotalTime>
  <ScaleCrop>false</ScaleCrop>
  <LinksUpToDate>false</LinksUpToDate>
  <CharactersWithSpaces>3627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2016-10-17T06:30:00Z</dcterms:created>
  <dc:creator>mehaboobi shaik</dc:creator>
  <cp:lastModifiedBy>Administrator</cp:lastModifiedBy>
  <dcterms:modified xsi:type="dcterms:W3CDTF">2019-11-05T16:44:56Z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KSOProductBuildVer">
    <vt:lpwstr>2052-11.1.0.9145</vt:lpwstr>
  </property>
</Properties>
</file>