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1197B" w:rsidP="00494130">
      <w:pPr>
        <w:pStyle w:val="Heading1"/>
        <w:spacing w:before="170"/>
        <w:ind w:left="0"/>
      </w:pPr>
      <w:r>
        <w:rPr>
          <w:color w:val="337AB7"/>
        </w:rPr>
        <w:t>Complication Rates for PICCs after Rewire</w:t>
      </w:r>
    </w:p>
    <w:p w:rsidR="005973B9" w:rsidRDefault="0031197B" w:rsidP="00AE793B">
      <w:pPr>
        <w:pStyle w:val="BodyText"/>
        <w:spacing w:before="73" w:line="198" w:lineRule="exact"/>
        <w:ind w:right="2468"/>
        <w:rPr>
          <w:rFonts w:ascii="Arial"/>
        </w:rPr>
      </w:pPr>
      <w:r>
        <w:rPr>
          <w:rFonts w:ascii="Arial"/>
        </w:rPr>
        <w:t>Nicole Riccioni, MSN, MPH, RN, CPNP-PC, Texas Children</w:t>
      </w:r>
      <w:r>
        <w:rPr>
          <w:rFonts w:ascii="Arial"/>
        </w:rPr>
        <w:t>’</w:t>
      </w:r>
      <w:r>
        <w:rPr>
          <w:rFonts w:ascii="Arial"/>
        </w:rPr>
        <w:t>s Hospital, Baylor College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31197B">
        <w:t xml:space="preserve">Long term venous access is integral to the treatment and therapy of many pediatric patients.  Complications with line function other than infection can </w:t>
      </w:r>
      <w:r w:rsidR="00067F96">
        <w:t xml:space="preserve">often </w:t>
      </w:r>
      <w:r w:rsidR="0031197B">
        <w:t>be remedied by exchanging the catheter over the wire f</w:t>
      </w:r>
      <w:r w:rsidR="00067F96">
        <w:t>or a new catheter, or</w:t>
      </w:r>
      <w:r w:rsidR="0031197B">
        <w:t xml:space="preserve"> rewire.   This retrospective study was designed to analyze PICC complication rates after rewire, as compared to all newly placed PICCs.  Methodology &amp; </w:t>
      </w:r>
      <w:r w:rsidR="008756E6">
        <w:t xml:space="preserve">Theoretical Orientation: </w:t>
      </w:r>
      <w:r w:rsidR="006575B2">
        <w:t xml:space="preserve">IRB approval allowed retrospective study at a large children’s hospital of the electronic medical record and PACS system, which were queried for all PICCs placed from January 2014 through December 2014.  Data points </w:t>
      </w:r>
      <w:r w:rsidR="00067F96">
        <w:t>collected included</w:t>
      </w:r>
      <w:r w:rsidR="006575B2">
        <w:t xml:space="preserve"> catheter dwell time, reason for rewire, indication of PICC placement, and </w:t>
      </w:r>
      <w:r w:rsidR="00B9126D">
        <w:t>complications</w:t>
      </w:r>
      <w:r w:rsidR="006575B2">
        <w:t xml:space="preserve"> </w:t>
      </w:r>
      <w:r w:rsidR="00B9126D">
        <w:t>including</w:t>
      </w:r>
      <w:r w:rsidR="006575B2">
        <w:t xml:space="preserve"> infection, line malfunction and malposition.  Outcomes were statistically analyzed using Fisher’s exact test.  Comparisons were made between the total PICC population and those patients that had their PICC exchanged over a wire.  </w:t>
      </w:r>
      <w:r>
        <w:t xml:space="preserve">Findings: </w:t>
      </w:r>
      <w:r w:rsidR="006575B2">
        <w:t xml:space="preserve">A total of 1257 PICCs were placed during the study period with 157 patients having a rewire of their line.  In all patients the </w:t>
      </w:r>
      <w:r w:rsidR="00F95CE1">
        <w:t xml:space="preserve">total </w:t>
      </w:r>
      <w:r w:rsidR="006575B2">
        <w:t xml:space="preserve">complication rate and infection rate were 12.2% </w:t>
      </w:r>
      <w:r w:rsidR="00F95CE1">
        <w:t>and 4.8% (p&lt;0.001) respectively, with early infection comprising 1.5% and late infection comprising 3.4%.</w:t>
      </w:r>
      <w:r w:rsidR="006575B2">
        <w:t xml:space="preserve">  In rewire </w:t>
      </w:r>
      <w:r w:rsidR="00B9126D">
        <w:t>patients</w:t>
      </w:r>
      <w:r w:rsidR="006575B2">
        <w:t xml:space="preserve"> the </w:t>
      </w:r>
      <w:r w:rsidR="00F95CE1">
        <w:t xml:space="preserve">total </w:t>
      </w:r>
      <w:r w:rsidR="006575B2">
        <w:t>complication rate and infection rate were 44.6% and 14.6% (p&lt;0.001) respectively</w:t>
      </w:r>
      <w:r w:rsidR="00F95CE1">
        <w:t xml:space="preserve">, with early infection comprising </w:t>
      </w:r>
      <w:r w:rsidR="00A37004">
        <w:t xml:space="preserve">3.8% and late infection 10.8%.  </w:t>
      </w:r>
      <w:r w:rsidR="006575B2">
        <w:t>The most common reasons for rewire was malposition (</w:t>
      </w:r>
      <w:r w:rsidR="003C3048">
        <w:t xml:space="preserve">44.5%) and cracked catheter hub (17.8%).  The two most common patient populations requiring </w:t>
      </w:r>
      <w:r w:rsidR="00B9126D">
        <w:t>rewire</w:t>
      </w:r>
      <w:r w:rsidR="003C3048">
        <w:t xml:space="preserve"> were oncology (33.1%) and TPN dependent short gut patients (33.1%).  Average catheter dwell time in all patient</w:t>
      </w:r>
      <w:r w:rsidR="00067F96">
        <w:t>s</w:t>
      </w:r>
      <w:r w:rsidR="003C3048">
        <w:t xml:space="preserve"> was 39 days and in rewire patients was 59 days.  </w:t>
      </w:r>
      <w:r>
        <w:t xml:space="preserve"> Conclusion &amp; Significance: </w:t>
      </w:r>
      <w:r w:rsidR="003C3048">
        <w:t xml:space="preserve">The overall complication rate for catheters after rewire was </w:t>
      </w:r>
      <w:r w:rsidR="00B9126D">
        <w:t>higher</w:t>
      </w:r>
      <w:r w:rsidR="003C3048">
        <w:t xml:space="preserve"> than the entire PICC population.  </w:t>
      </w:r>
      <w:r w:rsidR="00A37004">
        <w:t xml:space="preserve">This may be due to the same factors prompting rewire in the first place (ex., fibrin sheath causing recurrent occlusion; patient anatomy causing recurrent malposition).  </w:t>
      </w:r>
      <w:r w:rsidR="003C3048">
        <w:t xml:space="preserve">The </w:t>
      </w:r>
      <w:r w:rsidR="00067F96">
        <w:t>infection rate was also higher</w:t>
      </w:r>
      <w:r w:rsidR="00A37004">
        <w:t>.  The rewire group had a higher proportion of multiple lumens, a longer dwell time and an increased proportion of the population receiving parenteral nutrition, all of which have been previously reported in the literature to increase infection rates.  Despite this increased risk, we think that rewire still has a place in practice in a certain subset of patients</w:t>
      </w:r>
      <w:r w:rsidR="00067F96">
        <w:t xml:space="preserve">, in order to preserve future venous access options in patients requiring long term central venous access (ex., TPN dependent, cancer).  </w:t>
      </w:r>
    </w:p>
    <w:p w:rsidR="005973B9" w:rsidRDefault="00A9710C" w:rsidP="00C7572C">
      <w:pPr>
        <w:pStyle w:val="Heading3"/>
        <w:spacing w:before="74"/>
        <w:rPr>
          <w:b w:val="0"/>
        </w:rPr>
      </w:pPr>
      <w:r>
        <w:rPr>
          <w:b w:val="0"/>
        </w:rPr>
        <w:br w:type="column"/>
      </w:r>
      <w:r w:rsidR="005973B9">
        <w:rPr>
          <w:color w:val="BF5A14"/>
        </w:rPr>
        <w:lastRenderedPageBreak/>
        <w:t>Recent Publications (minimum 5)</w:t>
      </w:r>
    </w:p>
    <w:p w:rsidR="005973B9" w:rsidRDefault="00B719B6" w:rsidP="005973B9">
      <w:pPr>
        <w:pStyle w:val="ListParagraph"/>
        <w:numPr>
          <w:ilvl w:val="0"/>
          <w:numId w:val="3"/>
        </w:numPr>
        <w:tabs>
          <w:tab w:val="left" w:pos="384"/>
        </w:tabs>
        <w:spacing w:line="216" w:lineRule="exact"/>
        <w:ind w:right="137" w:hanging="283"/>
        <w:rPr>
          <w:sz w:val="18"/>
        </w:rPr>
      </w:pPr>
      <w:r>
        <w:rPr>
          <w:sz w:val="18"/>
        </w:rPr>
        <w:t xml:space="preserve">Barrier, A., Williams, D.J., Connelly, MD. And Creech, B. (2012).  Frequency of peripherally inserted central catheter complications in children.  </w:t>
      </w:r>
      <w:r w:rsidRPr="00B719B6">
        <w:rPr>
          <w:i/>
          <w:sz w:val="18"/>
        </w:rPr>
        <w:t>The Pediatric Infectious Disease Journal</w:t>
      </w:r>
      <w:r>
        <w:rPr>
          <w:sz w:val="18"/>
        </w:rPr>
        <w:t>, 31, 519-521.</w:t>
      </w:r>
    </w:p>
    <w:p w:rsidR="005973B9" w:rsidRDefault="00D307AD" w:rsidP="005973B9">
      <w:pPr>
        <w:pStyle w:val="BodyText"/>
        <w:spacing w:before="85" w:line="216" w:lineRule="exact"/>
        <w:ind w:left="383" w:right="138" w:hanging="284"/>
        <w:jc w:val="both"/>
        <w:rPr>
          <w:rFonts w:ascii="Calibri" w:hAnsi="Calibri"/>
        </w:rPr>
      </w:pPr>
      <w:r>
        <w:rPr>
          <w:rFonts w:ascii="Calibri" w:hAnsi="Calibri"/>
        </w:rPr>
        <w:t>2</w:t>
      </w:r>
      <w:r w:rsidR="005973B9">
        <w:rPr>
          <w:rFonts w:ascii="Calibri" w:hAnsi="Calibri"/>
        </w:rPr>
        <w:t xml:space="preserve">. </w:t>
      </w:r>
      <w:r>
        <w:rPr>
          <w:rFonts w:ascii="Calibri" w:hAnsi="Calibri"/>
        </w:rPr>
        <w:t xml:space="preserve"> </w:t>
      </w:r>
      <w:r w:rsidR="00B719B6">
        <w:rPr>
          <w:rFonts w:ascii="Calibri" w:hAnsi="Calibri"/>
        </w:rPr>
        <w:t xml:space="preserve"> </w:t>
      </w:r>
      <w:r>
        <w:rPr>
          <w:rFonts w:ascii="Calibri" w:hAnsi="Calibri"/>
        </w:rPr>
        <w:t xml:space="preserve">Castelli, G.P., Pogani, C., Stuani, A., Cita, M. and Paladini, R. (2007). Central venous catheter replacement in the ICU: new site versus guidewire exchange.  </w:t>
      </w:r>
      <w:r w:rsidRPr="00D307AD">
        <w:rPr>
          <w:rFonts w:ascii="Calibri" w:hAnsi="Calibri"/>
          <w:i/>
        </w:rPr>
        <w:t>Minerva Anestesiologica</w:t>
      </w:r>
      <w:r>
        <w:rPr>
          <w:rFonts w:ascii="Calibri" w:hAnsi="Calibri"/>
        </w:rPr>
        <w:t>, 73, 267-273.</w:t>
      </w:r>
    </w:p>
    <w:p w:rsidR="00D307AD" w:rsidRDefault="00D307AD" w:rsidP="005973B9">
      <w:pPr>
        <w:pStyle w:val="BodyText"/>
        <w:spacing w:before="85" w:line="216" w:lineRule="exact"/>
        <w:ind w:left="383" w:right="138" w:hanging="284"/>
        <w:jc w:val="both"/>
        <w:rPr>
          <w:rFonts w:ascii="Calibri" w:hAnsi="Calibri"/>
        </w:rPr>
      </w:pPr>
      <w:r>
        <w:rPr>
          <w:rFonts w:ascii="Calibri" w:hAnsi="Calibri"/>
        </w:rPr>
        <w:t>3.</w:t>
      </w:r>
      <w:r>
        <w:rPr>
          <w:rFonts w:ascii="Calibri" w:hAnsi="Calibri"/>
        </w:rPr>
        <w:tab/>
        <w:t>Cook, D., Randolph, A., Kernerman, P., Cupido, C., King, D., Soukup, C. and Brun-</w:t>
      </w:r>
      <w:r w:rsidR="00B9126D">
        <w:rPr>
          <w:rFonts w:ascii="Calibri" w:hAnsi="Calibri"/>
        </w:rPr>
        <w:t>Buiss</w:t>
      </w:r>
      <w:r>
        <w:rPr>
          <w:rFonts w:ascii="Calibri" w:hAnsi="Calibri"/>
        </w:rPr>
        <w:t>on, C.</w:t>
      </w:r>
      <w:r w:rsidR="00B9126D">
        <w:rPr>
          <w:rFonts w:ascii="Calibri" w:hAnsi="Calibri"/>
        </w:rPr>
        <w:t xml:space="preserve">  (1997).  Central venous catheter replacement strategies: A systematic review of the literature.  </w:t>
      </w:r>
      <w:r w:rsidR="00B9126D" w:rsidRPr="00B9126D">
        <w:rPr>
          <w:rFonts w:ascii="Calibri" w:hAnsi="Calibri"/>
          <w:i/>
        </w:rPr>
        <w:t>Critical Care Medicine</w:t>
      </w:r>
      <w:r w:rsidR="00B9126D">
        <w:rPr>
          <w:rFonts w:ascii="Calibri" w:hAnsi="Calibri"/>
        </w:rPr>
        <w:t xml:space="preserve">, 25, 1417-1424.  </w:t>
      </w:r>
    </w:p>
    <w:p w:rsidR="00AE3E37" w:rsidRDefault="00D307AD" w:rsidP="00D307AD">
      <w:pPr>
        <w:pStyle w:val="BodyText"/>
        <w:spacing w:before="85" w:line="216" w:lineRule="exact"/>
        <w:ind w:left="383" w:right="138" w:hanging="284"/>
        <w:jc w:val="both"/>
        <w:rPr>
          <w:rFonts w:ascii="Calibri" w:hAnsi="Calibri"/>
        </w:rPr>
      </w:pPr>
      <w:r>
        <w:rPr>
          <w:rFonts w:ascii="Calibri" w:hAnsi="Calibri"/>
        </w:rPr>
        <w:t xml:space="preserve">4.  Gnannt, R., Premal, P., Temple, M., Brashdi, Y.A., Amaral, J., Connolly, B. (2017).  Peripherally inserted central catheters in pediatric patients: To repair or not repair.  </w:t>
      </w:r>
      <w:r w:rsidRPr="00D307AD">
        <w:rPr>
          <w:rFonts w:ascii="Calibri" w:hAnsi="Calibri"/>
          <w:i/>
        </w:rPr>
        <w:t xml:space="preserve">Cardiovascular </w:t>
      </w:r>
      <w:r w:rsidR="00B9126D" w:rsidRPr="00D307AD">
        <w:rPr>
          <w:rFonts w:ascii="Calibri" w:hAnsi="Calibri"/>
          <w:i/>
        </w:rPr>
        <w:t>Interventi</w:t>
      </w:r>
      <w:r w:rsidR="00B9126D">
        <w:rPr>
          <w:rFonts w:ascii="Calibri" w:hAnsi="Calibri"/>
          <w:i/>
        </w:rPr>
        <w:t>onal</w:t>
      </w:r>
      <w:r>
        <w:rPr>
          <w:rFonts w:ascii="Calibri" w:hAnsi="Calibri"/>
          <w:i/>
        </w:rPr>
        <w:t xml:space="preserve"> </w:t>
      </w:r>
      <w:r w:rsidRPr="00D307AD">
        <w:rPr>
          <w:rFonts w:ascii="Calibri" w:hAnsi="Calibri"/>
          <w:i/>
        </w:rPr>
        <w:t>Radiology</w:t>
      </w:r>
      <w:r>
        <w:rPr>
          <w:rFonts w:ascii="Calibri" w:hAnsi="Calibri"/>
        </w:rPr>
        <w:t>.  Advance online publication.  doi:10.1007/s00270-017-1580-x.</w:t>
      </w:r>
    </w:p>
    <w:p w:rsidR="00D307AD" w:rsidRDefault="00D307AD" w:rsidP="00D307AD">
      <w:pPr>
        <w:pStyle w:val="BodyText"/>
        <w:spacing w:before="85" w:line="216" w:lineRule="exact"/>
        <w:ind w:left="383" w:right="138" w:hanging="284"/>
        <w:jc w:val="both"/>
        <w:rPr>
          <w:rFonts w:ascii="Calibri" w:hAnsi="Calibri"/>
        </w:rPr>
      </w:pPr>
      <w:r>
        <w:rPr>
          <w:rFonts w:ascii="Calibri" w:hAnsi="Calibri"/>
        </w:rPr>
        <w:t>5.</w:t>
      </w:r>
      <w:r>
        <w:rPr>
          <w:rFonts w:ascii="Calibri" w:hAnsi="Calibri"/>
        </w:rPr>
        <w:tab/>
        <w:t xml:space="preserve">McCoy, M., Bedwell, S. and Noori, S.  (2011). Exchange of peripherally inserted central catheter is associated with an increased risk for bloodstream infection.  </w:t>
      </w:r>
      <w:r w:rsidRPr="00D307AD">
        <w:rPr>
          <w:rFonts w:ascii="Calibri" w:hAnsi="Calibri"/>
          <w:i/>
        </w:rPr>
        <w:t>American Journal of Perinatology</w:t>
      </w:r>
      <w:r>
        <w:rPr>
          <w:rFonts w:ascii="Calibri" w:hAnsi="Calibri"/>
        </w:rPr>
        <w:t>, 28, 419-423.</w:t>
      </w:r>
    </w:p>
    <w:p w:rsidR="00D307AD" w:rsidRPr="008756E6" w:rsidRDefault="00D307AD" w:rsidP="00D307AD">
      <w:pPr>
        <w:pStyle w:val="BodyText"/>
        <w:spacing w:before="85" w:line="216" w:lineRule="exact"/>
        <w:ind w:left="383" w:right="138" w:hanging="284"/>
        <w:jc w:val="both"/>
      </w:pPr>
      <w:r>
        <w:rPr>
          <w:rFonts w:ascii="Calibri" w:hAnsi="Calibri"/>
        </w:rPr>
        <w:t>6.</w:t>
      </w:r>
      <w:r>
        <w:rPr>
          <w:rFonts w:ascii="Calibri" w:hAnsi="Calibri"/>
        </w:rPr>
        <w:tab/>
        <w:t xml:space="preserve">O’mara, M.S., Reed, N.L., Palmieri, T.L. and Greenhalgh, D.G.  (2007).  Central venous catheter infections in burn patients with scheduled catheter exchange and replacement.  </w:t>
      </w:r>
      <w:r w:rsidRPr="00D307AD">
        <w:rPr>
          <w:rFonts w:ascii="Calibri" w:hAnsi="Calibri"/>
          <w:i/>
        </w:rPr>
        <w:t>Journal of Surgical Research</w:t>
      </w:r>
      <w:r>
        <w:rPr>
          <w:rFonts w:ascii="Calibri" w:hAnsi="Calibri"/>
        </w:rPr>
        <w:t>, 142, 341-350.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DA2E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0E3EF5">
      <w:pPr>
        <w:spacing w:before="41" w:line="154" w:lineRule="exact"/>
        <w:ind w:left="213" w:right="231"/>
        <w:jc w:val="both"/>
        <w:rPr>
          <w:rFonts w:ascii="Arial"/>
          <w:sz w:val="14"/>
        </w:rPr>
      </w:pPr>
      <w:r>
        <w:rPr>
          <w:rFonts w:ascii="Arial"/>
          <w:sz w:val="14"/>
        </w:rPr>
        <w:t>Nicole Riccioni is a Pediatric Nurse Practitioner at Texas Children</w:t>
      </w:r>
      <w:r>
        <w:rPr>
          <w:rFonts w:ascii="Arial"/>
          <w:sz w:val="14"/>
        </w:rPr>
        <w:t>’</w:t>
      </w:r>
      <w:r>
        <w:rPr>
          <w:rFonts w:ascii="Arial"/>
          <w:sz w:val="14"/>
        </w:rPr>
        <w:t>s Hospital in Interventional Radiology.  She is also an Instructor at Baylor College of Medicine.  She has been directly involved with the placement and management of PICCs for 10 years.  She has been actively involved with PICC research for the past 4 years</w:t>
      </w:r>
      <w:r w:rsidR="00F95CE1">
        <w:rPr>
          <w:rFonts w:ascii="Arial"/>
          <w:sz w:val="14"/>
        </w:rPr>
        <w:t xml:space="preserve"> and has previously presented her research at the Radiology Society of North America</w:t>
      </w:r>
      <w:r w:rsidR="00F95CE1">
        <w:rPr>
          <w:rFonts w:ascii="Arial"/>
          <w:sz w:val="14"/>
        </w:rPr>
        <w:t>’</w:t>
      </w:r>
      <w:r w:rsidR="00067F96">
        <w:rPr>
          <w:rFonts w:ascii="Arial"/>
          <w:sz w:val="14"/>
        </w:rPr>
        <w:t xml:space="preserve">s annual conference in 2015.  She serves at the </w:t>
      </w:r>
      <w:r w:rsidR="00347111">
        <w:rPr>
          <w:rFonts w:ascii="Arial"/>
          <w:sz w:val="14"/>
        </w:rPr>
        <w:t xml:space="preserve">advanced practice provider </w:t>
      </w:r>
      <w:bookmarkStart w:id="0" w:name="_GoBack"/>
      <w:bookmarkEnd w:id="0"/>
      <w:r w:rsidR="00067F96">
        <w:rPr>
          <w:rFonts w:ascii="Arial"/>
          <w:sz w:val="14"/>
        </w:rPr>
        <w:t xml:space="preserve">research coordinator for her department and is actively involved in several other unrelated research projects.  </w:t>
      </w:r>
    </w:p>
    <w:p w:rsidR="00AE3E37" w:rsidRDefault="00A9710C">
      <w:pPr>
        <w:spacing w:before="62"/>
        <w:ind w:left="4217" w:right="4235"/>
        <w:jc w:val="center"/>
        <w:rPr>
          <w:rFonts w:ascii="Arial"/>
          <w:sz w:val="14"/>
        </w:rPr>
      </w:pPr>
      <w:r>
        <w:rPr>
          <w:rFonts w:ascii="Arial"/>
          <w:sz w:val="14"/>
        </w:rPr>
        <w:t xml:space="preserve">Email: </w:t>
      </w:r>
      <w:hyperlink r:id="rId10" w:history="1">
        <w:r w:rsidR="000E3EF5">
          <w:rPr>
            <w:rStyle w:val="Hyperlink"/>
            <w:rFonts w:ascii="Arial"/>
            <w:sz w:val="14"/>
          </w:rPr>
          <w:t>nkriccio@texaschildrens.org</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DF1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B9D" w:rsidRDefault="00B23B9D">
      <w:r>
        <w:separator/>
      </w:r>
    </w:p>
  </w:endnote>
  <w:endnote w:type="continuationSeparator" w:id="0">
    <w:p w:rsidR="00B23B9D" w:rsidRDefault="00B23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B9D" w:rsidRDefault="00B23B9D">
      <w:r>
        <w:separator/>
      </w:r>
    </w:p>
  </w:footnote>
  <w:footnote w:type="continuationSeparator" w:id="0">
    <w:p w:rsidR="00B23B9D" w:rsidRDefault="00B23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23B9D">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B23B9D">
                    <w:pPr>
                      <w:spacing w:before="2" w:line="249" w:lineRule="auto"/>
                      <w:ind w:left="156" w:right="18" w:hanging="137"/>
                      <w:rPr>
                        <w:rFonts w:ascii="Arial"/>
                        <w:color w:val="FFFFFF" w:themeColor="background1"/>
                        <w:sz w:val="14"/>
                      </w:rPr>
                    </w:pPr>
                    <w:hyperlink r:id="rId2">
                      <w:r w:rsidR="00A9710C"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D5F"/>
    <w:rsid w:val="00067F96"/>
    <w:rsid w:val="000E2911"/>
    <w:rsid w:val="000E3EF5"/>
    <w:rsid w:val="001263DF"/>
    <w:rsid w:val="00292ED9"/>
    <w:rsid w:val="0031197B"/>
    <w:rsid w:val="00347111"/>
    <w:rsid w:val="003C3048"/>
    <w:rsid w:val="00400B40"/>
    <w:rsid w:val="00404E5B"/>
    <w:rsid w:val="00414F7B"/>
    <w:rsid w:val="004355DC"/>
    <w:rsid w:val="004749B4"/>
    <w:rsid w:val="00494130"/>
    <w:rsid w:val="004F3523"/>
    <w:rsid w:val="00516076"/>
    <w:rsid w:val="005973B9"/>
    <w:rsid w:val="005B3A56"/>
    <w:rsid w:val="005E414C"/>
    <w:rsid w:val="006060CE"/>
    <w:rsid w:val="0063497F"/>
    <w:rsid w:val="006575B2"/>
    <w:rsid w:val="00787237"/>
    <w:rsid w:val="00873DF0"/>
    <w:rsid w:val="008756E6"/>
    <w:rsid w:val="009B2D44"/>
    <w:rsid w:val="00A07E82"/>
    <w:rsid w:val="00A37004"/>
    <w:rsid w:val="00A9710C"/>
    <w:rsid w:val="00AE3E37"/>
    <w:rsid w:val="00AE793B"/>
    <w:rsid w:val="00B21A57"/>
    <w:rsid w:val="00B23B9D"/>
    <w:rsid w:val="00B719B6"/>
    <w:rsid w:val="00B9126D"/>
    <w:rsid w:val="00C33602"/>
    <w:rsid w:val="00C7572C"/>
    <w:rsid w:val="00CD6F55"/>
    <w:rsid w:val="00D307AD"/>
    <w:rsid w:val="00DE3104"/>
    <w:rsid w:val="00F72EEA"/>
    <w:rsid w:val="00F84CAE"/>
    <w:rsid w:val="00F95C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08C2E8-2351-4CCE-BE8A-0F852DEF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3731177">
      <w:bodyDiv w:val="1"/>
      <w:marLeft w:val="0"/>
      <w:marRight w:val="0"/>
      <w:marTop w:val="0"/>
      <w:marBottom w:val="0"/>
      <w:divBdr>
        <w:top w:val="none" w:sz="0" w:space="0" w:color="auto"/>
        <w:left w:val="none" w:sz="0" w:space="0" w:color="auto"/>
        <w:bottom w:val="none" w:sz="0" w:space="0" w:color="auto"/>
        <w:right w:val="none" w:sz="0" w:space="0" w:color="auto"/>
      </w:divBdr>
      <w:divsChild>
        <w:div w:id="1018507418">
          <w:marLeft w:val="547"/>
          <w:marRight w:val="0"/>
          <w:marTop w:val="86"/>
          <w:marBottom w:val="0"/>
          <w:divBdr>
            <w:top w:val="none" w:sz="0" w:space="0" w:color="auto"/>
            <w:left w:val="none" w:sz="0" w:space="0" w:color="auto"/>
            <w:bottom w:val="none" w:sz="0" w:space="0" w:color="auto"/>
            <w:right w:val="none" w:sz="0" w:space="0" w:color="auto"/>
          </w:divBdr>
        </w:div>
        <w:div w:id="890578893">
          <w:marLeft w:val="547"/>
          <w:marRight w:val="0"/>
          <w:marTop w:val="86"/>
          <w:marBottom w:val="0"/>
          <w:divBdr>
            <w:top w:val="none" w:sz="0" w:space="0" w:color="auto"/>
            <w:left w:val="none" w:sz="0" w:space="0" w:color="auto"/>
            <w:bottom w:val="none" w:sz="0" w:space="0" w:color="auto"/>
            <w:right w:val="none" w:sz="0" w:space="0" w:color="auto"/>
          </w:divBdr>
        </w:div>
        <w:div w:id="1621230181">
          <w:marLeft w:val="547"/>
          <w:marRight w:val="0"/>
          <w:marTop w:val="86"/>
          <w:marBottom w:val="0"/>
          <w:divBdr>
            <w:top w:val="none" w:sz="0" w:space="0" w:color="auto"/>
            <w:left w:val="none" w:sz="0" w:space="0" w:color="auto"/>
            <w:bottom w:val="none" w:sz="0" w:space="0" w:color="auto"/>
            <w:right w:val="none" w:sz="0" w:space="0" w:color="auto"/>
          </w:divBdr>
        </w:div>
        <w:div w:id="675232042">
          <w:marLeft w:val="547"/>
          <w:marRight w:val="0"/>
          <w:marTop w:val="86"/>
          <w:marBottom w:val="0"/>
          <w:divBdr>
            <w:top w:val="none" w:sz="0" w:space="0" w:color="auto"/>
            <w:left w:val="none" w:sz="0" w:space="0" w:color="auto"/>
            <w:bottom w:val="none" w:sz="0" w:space="0" w:color="auto"/>
            <w:right w:val="none" w:sz="0" w:space="0" w:color="auto"/>
          </w:divBdr>
        </w:div>
        <w:div w:id="286207080">
          <w:marLeft w:val="547"/>
          <w:marRight w:val="0"/>
          <w:marTop w:val="86"/>
          <w:marBottom w:val="0"/>
          <w:divBdr>
            <w:top w:val="none" w:sz="0" w:space="0" w:color="auto"/>
            <w:left w:val="none" w:sz="0" w:space="0" w:color="auto"/>
            <w:bottom w:val="none" w:sz="0" w:space="0" w:color="auto"/>
            <w:right w:val="none" w:sz="0" w:space="0" w:color="auto"/>
          </w:divBdr>
        </w:div>
        <w:div w:id="1939024819">
          <w:marLeft w:val="547"/>
          <w:marRight w:val="0"/>
          <w:marTop w:val="86"/>
          <w:marBottom w:val="0"/>
          <w:divBdr>
            <w:top w:val="none" w:sz="0" w:space="0" w:color="auto"/>
            <w:left w:val="none" w:sz="0" w:space="0" w:color="auto"/>
            <w:bottom w:val="none" w:sz="0" w:space="0" w:color="auto"/>
            <w:right w:val="none" w:sz="0" w:space="0" w:color="auto"/>
          </w:divBdr>
        </w:div>
        <w:div w:id="2008946865">
          <w:marLeft w:val="547"/>
          <w:marRight w:val="0"/>
          <w:marTop w:val="8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 Riccioni</cp:lastModifiedBy>
  <cp:revision>4</cp:revision>
  <dcterms:created xsi:type="dcterms:W3CDTF">2017-03-15T00:52:00Z</dcterms:created>
  <dcterms:modified xsi:type="dcterms:W3CDTF">2017-03-16T00:51:00Z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