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97D" w:rsidRDefault="0049797D" w:rsidP="0049797D">
      <w:pPr>
        <w:spacing w:after="0" w:line="480" w:lineRule="auto"/>
        <w:jc w:val="both"/>
        <w:rPr>
          <w:rFonts w:asciiTheme="majorBidi" w:hAnsiTheme="majorBidi" w:cstheme="majorBidi"/>
          <w:bCs/>
          <w:color w:val="000000"/>
        </w:rPr>
      </w:pPr>
      <w:r>
        <w:rPr>
          <w:rFonts w:asciiTheme="majorBidi" w:hAnsiTheme="majorBidi" w:cstheme="majorBidi"/>
          <w:bCs/>
          <w:color w:val="000000"/>
        </w:rPr>
        <w:t>Background:</w:t>
      </w:r>
      <w:r>
        <w:rPr>
          <w:rFonts w:asciiTheme="majorBidi" w:hAnsiTheme="majorBidi" w:cstheme="majorBidi"/>
          <w:bCs/>
        </w:rPr>
        <w:t xml:space="preserve"> Irrigation has a key role in the success of endodontic treatment. </w:t>
      </w:r>
      <w:proofErr w:type="spellStart"/>
      <w:r>
        <w:rPr>
          <w:rFonts w:asciiTheme="majorBidi" w:hAnsiTheme="majorBidi" w:cstheme="majorBidi"/>
          <w:bCs/>
          <w:lang w:bidi="fa-IR"/>
        </w:rPr>
        <w:t>Intracanal</w:t>
      </w:r>
      <w:proofErr w:type="spellEnd"/>
      <w:r>
        <w:rPr>
          <w:rFonts w:asciiTheme="majorBidi" w:hAnsiTheme="majorBidi" w:cstheme="majorBidi"/>
          <w:bCs/>
          <w:lang w:bidi="fa-IR"/>
        </w:rPr>
        <w:t xml:space="preserve"> </w:t>
      </w:r>
      <w:proofErr w:type="spellStart"/>
      <w:r>
        <w:rPr>
          <w:rFonts w:asciiTheme="majorBidi" w:hAnsiTheme="majorBidi" w:cstheme="majorBidi"/>
          <w:bCs/>
          <w:lang w:bidi="fa-IR"/>
        </w:rPr>
        <w:t>irrigant</w:t>
      </w:r>
      <w:proofErr w:type="spellEnd"/>
      <w:r>
        <w:rPr>
          <w:rFonts w:asciiTheme="majorBidi" w:hAnsiTheme="majorBidi" w:cstheme="majorBidi"/>
          <w:bCs/>
          <w:lang w:bidi="fa-IR"/>
        </w:rPr>
        <w:t xml:space="preserve"> solutions have</w:t>
      </w:r>
      <w:r>
        <w:rPr>
          <w:rFonts w:asciiTheme="majorBidi" w:hAnsiTheme="majorBidi" w:cstheme="majorBidi"/>
          <w:bCs/>
        </w:rPr>
        <w:t xml:space="preserve"> adverse effects on the physical properties of dentin.</w:t>
      </w:r>
      <w:r>
        <w:rPr>
          <w:rFonts w:asciiTheme="majorBidi" w:hAnsiTheme="majorBidi" w:cstheme="majorBidi"/>
          <w:bCs/>
          <w:color w:val="000000"/>
        </w:rPr>
        <w:t xml:space="preserve"> </w:t>
      </w:r>
    </w:p>
    <w:p w:rsidR="0049797D" w:rsidRDefault="0049797D" w:rsidP="0049797D">
      <w:pPr>
        <w:spacing w:after="0" w:line="480" w:lineRule="auto"/>
        <w:jc w:val="both"/>
        <w:rPr>
          <w:rFonts w:asciiTheme="majorBidi" w:hAnsiTheme="majorBidi" w:cstheme="majorBidi"/>
          <w:bCs/>
          <w:color w:val="000000"/>
        </w:rPr>
      </w:pPr>
      <w:r>
        <w:rPr>
          <w:rFonts w:asciiTheme="majorBidi" w:hAnsiTheme="majorBidi" w:cstheme="majorBidi"/>
          <w:bCs/>
          <w:color w:val="000000"/>
        </w:rPr>
        <w:t xml:space="preserve">Aim: The present study aimed to evaluate the effect of different irrigation protocols on coronal fracture resistance of </w:t>
      </w:r>
      <w:proofErr w:type="spellStart"/>
      <w:r>
        <w:rPr>
          <w:rFonts w:asciiTheme="majorBidi" w:hAnsiTheme="majorBidi" w:cstheme="majorBidi"/>
          <w:bCs/>
          <w:color w:val="000000"/>
        </w:rPr>
        <w:t>endodontically</w:t>
      </w:r>
      <w:proofErr w:type="spellEnd"/>
      <w:r>
        <w:rPr>
          <w:rFonts w:asciiTheme="majorBidi" w:hAnsiTheme="majorBidi" w:cstheme="majorBidi"/>
          <w:bCs/>
          <w:color w:val="000000"/>
        </w:rPr>
        <w:t xml:space="preserve"> treated teeth undergoing bleaching treatment. </w:t>
      </w:r>
    </w:p>
    <w:p w:rsidR="0049797D" w:rsidRDefault="0049797D" w:rsidP="0049797D">
      <w:pPr>
        <w:spacing w:after="0" w:line="480" w:lineRule="auto"/>
        <w:jc w:val="both"/>
        <w:rPr>
          <w:rFonts w:asciiTheme="majorBidi" w:hAnsiTheme="majorBidi" w:cstheme="majorBidi"/>
          <w:bCs/>
          <w:color w:val="000000"/>
        </w:rPr>
      </w:pPr>
      <w:r>
        <w:rPr>
          <w:rFonts w:ascii="Times New Roman" w:eastAsiaTheme="minorHAnsi" w:hAnsi="Times New Roman" w:cs="Times New Roman"/>
          <w:color w:val="000000"/>
        </w:rPr>
        <w:t>Design and Methodology</w:t>
      </w:r>
      <w:r>
        <w:rPr>
          <w:rFonts w:asciiTheme="majorBidi" w:hAnsiTheme="majorBidi" w:cstheme="majorBidi"/>
          <w:bCs/>
          <w:color w:val="000000"/>
        </w:rPr>
        <w:t xml:space="preserve">: Access cavities were prepared in 120 maxillary premolars which were divided into 2 </w:t>
      </w:r>
      <w:proofErr w:type="gramStart"/>
      <w:r>
        <w:rPr>
          <w:rFonts w:asciiTheme="majorBidi" w:hAnsiTheme="majorBidi" w:cstheme="majorBidi"/>
          <w:bCs/>
          <w:color w:val="000000"/>
        </w:rPr>
        <w:t>groups(</w:t>
      </w:r>
      <w:proofErr w:type="gramEnd"/>
      <w:r>
        <w:rPr>
          <w:rFonts w:asciiTheme="majorBidi" w:hAnsiTheme="majorBidi" w:cstheme="majorBidi"/>
          <w:bCs/>
          <w:color w:val="000000"/>
        </w:rPr>
        <w:t>n=60). Group A: Non-</w:t>
      </w:r>
      <w:proofErr w:type="gramStart"/>
      <w:r>
        <w:rPr>
          <w:rFonts w:asciiTheme="majorBidi" w:hAnsiTheme="majorBidi" w:cstheme="majorBidi"/>
          <w:bCs/>
          <w:color w:val="000000"/>
        </w:rPr>
        <w:t>bleached(</w:t>
      </w:r>
      <w:proofErr w:type="gramEnd"/>
      <w:r>
        <w:rPr>
          <w:rFonts w:asciiTheme="majorBidi" w:hAnsiTheme="majorBidi" w:cstheme="majorBidi"/>
          <w:bCs/>
          <w:color w:val="000000"/>
        </w:rPr>
        <w:t xml:space="preserve">NB), Group B: bleached(B). Each group was subdivided into 5 subgroups based on irrigation </w:t>
      </w:r>
      <w:proofErr w:type="gramStart"/>
      <w:r>
        <w:rPr>
          <w:rFonts w:asciiTheme="majorBidi" w:hAnsiTheme="majorBidi" w:cstheme="majorBidi"/>
          <w:bCs/>
          <w:color w:val="000000"/>
        </w:rPr>
        <w:t>protocol(</w:t>
      </w:r>
      <w:proofErr w:type="gramEnd"/>
      <w:r>
        <w:rPr>
          <w:rFonts w:asciiTheme="majorBidi" w:hAnsiTheme="majorBidi" w:cstheme="majorBidi"/>
          <w:bCs/>
          <w:color w:val="000000"/>
        </w:rPr>
        <w:t xml:space="preserve">n=12); G1: normal saline(NS), G2: </w:t>
      </w:r>
      <w:r>
        <w:rPr>
          <w:rFonts w:asciiTheme="majorBidi" w:hAnsiTheme="majorBidi" w:cstheme="majorBidi"/>
          <w:bCs/>
        </w:rPr>
        <w:t>2.5%</w:t>
      </w:r>
      <w:r>
        <w:rPr>
          <w:rFonts w:asciiTheme="majorBidi" w:hAnsiTheme="majorBidi" w:cstheme="majorBidi"/>
          <w:bCs/>
          <w:color w:val="000000"/>
        </w:rPr>
        <w:t xml:space="preserve"> sodium hypochlorite(</w:t>
      </w:r>
      <w:proofErr w:type="spellStart"/>
      <w:r>
        <w:rPr>
          <w:rFonts w:asciiTheme="majorBidi" w:hAnsiTheme="majorBidi" w:cstheme="majorBidi"/>
          <w:bCs/>
          <w:color w:val="000000"/>
        </w:rPr>
        <w:t>NaOCl</w:t>
      </w:r>
      <w:proofErr w:type="spellEnd"/>
      <w:r>
        <w:rPr>
          <w:rFonts w:asciiTheme="majorBidi" w:hAnsiTheme="majorBidi" w:cstheme="majorBidi"/>
          <w:bCs/>
          <w:color w:val="000000"/>
        </w:rPr>
        <w:t xml:space="preserve">), G3: 10% citric acid(CA),  G4: 17% EDTA, G5: </w:t>
      </w:r>
      <w:proofErr w:type="spellStart"/>
      <w:r>
        <w:rPr>
          <w:rFonts w:asciiTheme="majorBidi" w:hAnsiTheme="majorBidi" w:cstheme="majorBidi"/>
          <w:bCs/>
          <w:color w:val="000000"/>
        </w:rPr>
        <w:t>NaOCl</w:t>
      </w:r>
      <w:proofErr w:type="spellEnd"/>
      <w:r>
        <w:rPr>
          <w:rFonts w:asciiTheme="majorBidi" w:hAnsiTheme="majorBidi" w:cstheme="majorBidi"/>
          <w:bCs/>
          <w:color w:val="000000"/>
        </w:rPr>
        <w:t xml:space="preserve"> plus CA</w:t>
      </w:r>
      <w:r>
        <w:rPr>
          <w:rFonts w:asciiTheme="majorBidi" w:hAnsiTheme="majorBidi" w:cstheme="majorBidi"/>
          <w:bCs/>
        </w:rPr>
        <w:t xml:space="preserve">. In group B, the teeth were bleached using </w:t>
      </w:r>
      <w:r>
        <w:rPr>
          <w:rFonts w:asciiTheme="majorBidi" w:hAnsiTheme="majorBidi" w:cstheme="majorBidi"/>
          <w:bCs/>
          <w:color w:val="000000"/>
        </w:rPr>
        <w:t xml:space="preserve">38% hydrogen peroxide and 20% </w:t>
      </w:r>
      <w:proofErr w:type="spellStart"/>
      <w:r>
        <w:rPr>
          <w:rFonts w:asciiTheme="majorBidi" w:hAnsiTheme="majorBidi" w:cstheme="majorBidi"/>
          <w:bCs/>
          <w:color w:val="000000"/>
        </w:rPr>
        <w:t>carbamide</w:t>
      </w:r>
      <w:proofErr w:type="spellEnd"/>
      <w:r>
        <w:rPr>
          <w:rFonts w:asciiTheme="majorBidi" w:hAnsiTheme="majorBidi" w:cstheme="majorBidi"/>
          <w:bCs/>
          <w:color w:val="000000"/>
        </w:rPr>
        <w:t xml:space="preserve"> peroxide gels as in-office and at-home bleaching techniques for 3 weeks. All the teeth were restored with composite resin, </w:t>
      </w:r>
      <w:proofErr w:type="spellStart"/>
      <w:r>
        <w:rPr>
          <w:rFonts w:asciiTheme="majorBidi" w:hAnsiTheme="majorBidi" w:cstheme="majorBidi"/>
          <w:bCs/>
          <w:color w:val="000000"/>
        </w:rPr>
        <w:t>thermocycled</w:t>
      </w:r>
      <w:proofErr w:type="spellEnd"/>
      <w:r>
        <w:rPr>
          <w:rFonts w:asciiTheme="majorBidi" w:hAnsiTheme="majorBidi" w:cstheme="majorBidi"/>
          <w:bCs/>
          <w:color w:val="000000"/>
        </w:rPr>
        <w:t xml:space="preserve"> and incubated for 24 hours. The specimens underwent fracture resistance tests. Data were analyzed with ANOVA, </w:t>
      </w:r>
      <w:proofErr w:type="spellStart"/>
      <w:r>
        <w:rPr>
          <w:rFonts w:asciiTheme="majorBidi" w:hAnsiTheme="majorBidi" w:cstheme="majorBidi"/>
          <w:bCs/>
          <w:color w:val="000000"/>
        </w:rPr>
        <w:t>Tukey</w:t>
      </w:r>
      <w:proofErr w:type="spellEnd"/>
      <w:r>
        <w:rPr>
          <w:rFonts w:asciiTheme="majorBidi" w:hAnsiTheme="majorBidi" w:cstheme="majorBidi"/>
          <w:bCs/>
          <w:color w:val="000000"/>
        </w:rPr>
        <w:t xml:space="preserve"> HSD </w:t>
      </w:r>
      <w:proofErr w:type="spellStart"/>
      <w:r>
        <w:rPr>
          <w:rFonts w:asciiTheme="majorBidi" w:hAnsiTheme="majorBidi" w:cstheme="majorBidi"/>
          <w:bCs/>
          <w:color w:val="000000"/>
        </w:rPr>
        <w:t>test</w:t>
      </w:r>
      <w:proofErr w:type="gramStart"/>
      <w:r>
        <w:rPr>
          <w:rFonts w:asciiTheme="majorBidi" w:hAnsiTheme="majorBidi" w:cstheme="majorBidi"/>
          <w:bCs/>
          <w:color w:val="000000"/>
        </w:rPr>
        <w:t>,t</w:t>
      </w:r>
      <w:proofErr w:type="spellEnd"/>
      <w:proofErr w:type="gramEnd"/>
      <w:r>
        <w:rPr>
          <w:rFonts w:asciiTheme="majorBidi" w:hAnsiTheme="majorBidi" w:cstheme="majorBidi"/>
          <w:bCs/>
          <w:color w:val="000000"/>
        </w:rPr>
        <w:t xml:space="preserve">-test and </w:t>
      </w:r>
      <w:r>
        <w:rPr>
          <w:rFonts w:asciiTheme="majorBidi" w:hAnsiTheme="majorBidi" w:cstheme="majorBidi"/>
          <w:bCs/>
        </w:rPr>
        <w:t xml:space="preserve">Chi-squared test </w:t>
      </w:r>
      <w:r>
        <w:rPr>
          <w:rFonts w:asciiTheme="majorBidi" w:hAnsiTheme="majorBidi" w:cstheme="majorBidi"/>
          <w:bCs/>
          <w:color w:val="000000"/>
        </w:rPr>
        <w:t xml:space="preserve">(α=0.05). </w:t>
      </w:r>
    </w:p>
    <w:p w:rsidR="0049797D" w:rsidRDefault="0049797D" w:rsidP="0049797D">
      <w:pPr>
        <w:spacing w:after="0" w:line="480" w:lineRule="auto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color w:val="000000"/>
        </w:rPr>
        <w:t>Results: T-test showed significant differences between each two corresponding subgroups (P&lt;0.0001). In group A,</w:t>
      </w:r>
      <w:r>
        <w:rPr>
          <w:rFonts w:asciiTheme="majorBidi" w:hAnsiTheme="majorBidi" w:cstheme="majorBidi"/>
          <w:bCs/>
        </w:rPr>
        <w:t xml:space="preserve"> NS demonstrated significantly higher fracture resistance compared to others, however, minimum fracture resistance recorded in G2. </w:t>
      </w:r>
      <w:r>
        <w:rPr>
          <w:rFonts w:asciiTheme="majorBidi" w:hAnsiTheme="majorBidi" w:cstheme="majorBidi"/>
          <w:bCs/>
          <w:color w:val="000000"/>
        </w:rPr>
        <w:t xml:space="preserve">In group B, the maximum fracture resistance was recorded in G1, </w:t>
      </w:r>
      <w:r>
        <w:rPr>
          <w:rFonts w:asciiTheme="majorBidi" w:hAnsiTheme="majorBidi" w:cstheme="majorBidi"/>
          <w:bCs/>
        </w:rPr>
        <w:t xml:space="preserve">with the minimum being recorded in G5. Samples irrigated with </w:t>
      </w:r>
      <w:proofErr w:type="spellStart"/>
      <w:r>
        <w:rPr>
          <w:rFonts w:asciiTheme="majorBidi" w:hAnsiTheme="majorBidi" w:cstheme="majorBidi"/>
          <w:bCs/>
        </w:rPr>
        <w:t>NaOCl</w:t>
      </w:r>
      <w:proofErr w:type="spellEnd"/>
      <w:r>
        <w:rPr>
          <w:rFonts w:asciiTheme="majorBidi" w:hAnsiTheme="majorBidi" w:cstheme="majorBidi"/>
          <w:bCs/>
        </w:rPr>
        <w:t xml:space="preserve">, </w:t>
      </w:r>
      <w:proofErr w:type="spellStart"/>
      <w:r>
        <w:rPr>
          <w:rFonts w:asciiTheme="majorBidi" w:hAnsiTheme="majorBidi" w:cstheme="majorBidi"/>
          <w:bCs/>
        </w:rPr>
        <w:t>NaOCl</w:t>
      </w:r>
      <w:proofErr w:type="spellEnd"/>
      <w:r>
        <w:rPr>
          <w:rFonts w:asciiTheme="majorBidi" w:hAnsiTheme="majorBidi" w:cstheme="majorBidi"/>
          <w:bCs/>
        </w:rPr>
        <w:t xml:space="preserve"> plus CA exhibited significantly lower fracture resistance compared to NS subgroup (P&lt;0.05). </w:t>
      </w:r>
    </w:p>
    <w:p w:rsidR="0049797D" w:rsidRDefault="0049797D" w:rsidP="0049797D">
      <w:pPr>
        <w:spacing w:line="480" w:lineRule="auto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Conclusions: Within the limitations of this study, it can be concluded that the irrigation protocol used during endodontic treatment with/without bleaching can affect the coronal fracture resistance.</w:t>
      </w:r>
    </w:p>
    <w:p w:rsidR="009633D1" w:rsidRDefault="0049797D"/>
    <w:sectPr w:rsidR="009633D1" w:rsidSect="00934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9797D"/>
    <w:rsid w:val="00430369"/>
    <w:rsid w:val="0049797D"/>
    <w:rsid w:val="009345C9"/>
    <w:rsid w:val="00AA4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97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Dr-sadeghian</dc:creator>
  <cp:keywords/>
  <dc:description/>
  <cp:lastModifiedBy>Dr-sadeghian</cp:lastModifiedBy>
  <cp:revision>1</cp:revision>
  <dcterms:created xsi:type="dcterms:W3CDTF">2019-04-15T18:43:00Z</dcterms:created>
  <dcterms:modified xsi:type="dcterms:W3CDTF">2019-04-15T18:44:00Z</dcterms:modified>
</cp:coreProperties>
</file>