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1FE1" w:rsidRDefault="009D77A7">
      <w:pPr>
        <w:pStyle w:val="normal0"/>
        <w:jc w:val="both"/>
        <w:rPr>
          <w:sz w:val="22"/>
          <w:szCs w:val="22"/>
        </w:rPr>
      </w:pPr>
      <w:r>
        <w:rPr>
          <w:sz w:val="22"/>
          <w:szCs w:val="22"/>
        </w:rPr>
        <w:t xml:space="preserve">                                                                                                                       </w:t>
      </w:r>
      <w:r>
        <w:rPr>
          <w:noProof/>
          <w:sz w:val="22"/>
          <w:szCs w:val="22"/>
        </w:rPr>
        <w:drawing>
          <wp:inline distT="0" distB="0" distL="0" distR="0">
            <wp:extent cx="1769110" cy="206629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1769110" cy="2066290"/>
                    </a:xfrm>
                    <a:prstGeom prst="rect">
                      <a:avLst/>
                    </a:prstGeom>
                    <a:ln/>
                  </pic:spPr>
                </pic:pic>
              </a:graphicData>
            </a:graphic>
          </wp:inline>
        </w:drawing>
      </w:r>
    </w:p>
    <w:p w:rsidR="00221FE1" w:rsidRDefault="008A63A5">
      <w:pPr>
        <w:pStyle w:val="normal0"/>
        <w:rPr>
          <w:rFonts w:ascii="Calibri" w:eastAsia="Calibri" w:hAnsi="Calibri" w:cs="Calibri"/>
          <w:color w:val="000000"/>
          <w:sz w:val="22"/>
          <w:szCs w:val="22"/>
        </w:rPr>
      </w:pPr>
      <w:r>
        <w:rPr>
          <w:rFonts w:ascii="Calibri" w:eastAsia="Calibri" w:hAnsi="Calibri" w:cs="Calibri"/>
          <w:color w:val="000000"/>
          <w:sz w:val="22"/>
          <w:szCs w:val="22"/>
        </w:rPr>
        <w:t>Sandifer’s Syndrome</w:t>
      </w:r>
      <w:r w:rsidR="009D77A7">
        <w:rPr>
          <w:rFonts w:ascii="Calibri" w:eastAsia="Calibri" w:hAnsi="Calibri" w:cs="Calibri"/>
          <w:color w:val="000000"/>
          <w:sz w:val="22"/>
          <w:szCs w:val="22"/>
        </w:rPr>
        <w:t xml:space="preserve">: </w:t>
      </w:r>
      <w:r>
        <w:rPr>
          <w:rFonts w:ascii="Calibri" w:eastAsia="Calibri" w:hAnsi="Calibri" w:cs="Calibri"/>
          <w:color w:val="000000"/>
          <w:sz w:val="22"/>
          <w:szCs w:val="22"/>
        </w:rPr>
        <w:t>Three case reports and review</w:t>
      </w:r>
    </w:p>
    <w:p w:rsidR="00221FE1" w:rsidRDefault="00221FE1">
      <w:pPr>
        <w:pStyle w:val="normal0"/>
        <w:rPr>
          <w:rFonts w:ascii="Calibri" w:eastAsia="Calibri" w:hAnsi="Calibri" w:cs="Calibri"/>
          <w:color w:val="000000"/>
          <w:sz w:val="22"/>
          <w:szCs w:val="22"/>
        </w:rPr>
      </w:pPr>
    </w:p>
    <w:p w:rsidR="00221FE1" w:rsidRDefault="009D77A7">
      <w:pPr>
        <w:pStyle w:val="normal0"/>
        <w:rPr>
          <w:color w:val="000000"/>
        </w:rPr>
      </w:pPr>
      <w:r>
        <w:rPr>
          <w:color w:val="000000"/>
        </w:rPr>
        <w:br/>
      </w:r>
      <w:r>
        <w:rPr>
          <w:b/>
          <w:sz w:val="28"/>
          <w:szCs w:val="28"/>
        </w:rPr>
        <w:t xml:space="preserve">                                            </w:t>
      </w:r>
      <w:r>
        <w:rPr>
          <w:color w:val="000000"/>
        </w:rPr>
        <w:t>Name:Ayşe Pervanlar</w:t>
      </w:r>
    </w:p>
    <w:p w:rsidR="00221FE1" w:rsidRDefault="009D77A7">
      <w:pPr>
        <w:pStyle w:val="normal0"/>
        <w:rPr>
          <w:color w:val="000000"/>
        </w:rPr>
      </w:pPr>
      <w:r>
        <w:rPr>
          <w:b/>
          <w:sz w:val="28"/>
          <w:szCs w:val="28"/>
        </w:rPr>
        <w:t xml:space="preserve">                     </w:t>
      </w:r>
      <w:r>
        <w:rPr>
          <w:color w:val="000000"/>
        </w:rPr>
        <w:t>Maltepe University Faculty of Medicine,  34843/ TURKEY</w:t>
      </w:r>
    </w:p>
    <w:p w:rsidR="00221FE1" w:rsidRDefault="00221FE1">
      <w:pPr>
        <w:pStyle w:val="normal0"/>
        <w:jc w:val="center"/>
        <w:rPr>
          <w:color w:val="0000FF"/>
          <w:sz w:val="36"/>
          <w:szCs w:val="36"/>
        </w:rPr>
      </w:pPr>
    </w:p>
    <w:p w:rsidR="00221FE1" w:rsidRDefault="009D77A7">
      <w:pPr>
        <w:pStyle w:val="normal0"/>
        <w:spacing w:after="200"/>
      </w:pPr>
      <w:r>
        <w:rPr>
          <w:rFonts w:ascii="Calibri" w:eastAsia="Calibri" w:hAnsi="Calibri" w:cs="Calibri"/>
          <w:color w:val="000000"/>
          <w:sz w:val="22"/>
          <w:szCs w:val="22"/>
        </w:rPr>
        <w:t> </w:t>
      </w:r>
    </w:p>
    <w:p w:rsidR="008A63A5" w:rsidRPr="003F61C9" w:rsidRDefault="009D77A7">
      <w:pPr>
        <w:pStyle w:val="normal0"/>
        <w:spacing w:after="200"/>
        <w:rPr>
          <w:rFonts w:ascii="Calibri" w:eastAsia="Calibri" w:hAnsi="Calibri" w:cs="Calibri"/>
          <w:color w:val="000000"/>
          <w:sz w:val="22"/>
          <w:szCs w:val="22"/>
        </w:rPr>
      </w:pPr>
      <w:bookmarkStart w:id="0" w:name="_gjdgxs" w:colFirst="0" w:colLast="0"/>
      <w:bookmarkEnd w:id="0"/>
      <w:r>
        <w:rPr>
          <w:rFonts w:ascii="Calibri" w:eastAsia="Calibri" w:hAnsi="Calibri" w:cs="Calibri"/>
          <w:color w:val="000000"/>
          <w:sz w:val="22"/>
          <w:szCs w:val="22"/>
        </w:rPr>
        <w:t> </w:t>
      </w:r>
      <w:r w:rsidR="008A63A5">
        <w:rPr>
          <w:rFonts w:ascii="Calibri" w:eastAsia="Calibri" w:hAnsi="Calibri" w:cs="Calibri"/>
          <w:color w:val="000000"/>
          <w:sz w:val="22"/>
          <w:szCs w:val="22"/>
        </w:rPr>
        <w:t>Sandifer’s syndrome (S</w:t>
      </w:r>
      <w:r>
        <w:rPr>
          <w:rFonts w:ascii="Calibri" w:eastAsia="Calibri" w:hAnsi="Calibri" w:cs="Calibri"/>
          <w:color w:val="000000"/>
          <w:sz w:val="22"/>
          <w:szCs w:val="22"/>
        </w:rPr>
        <w:t xml:space="preserve">S) </w:t>
      </w:r>
      <w:r w:rsidR="008A63A5">
        <w:rPr>
          <w:rFonts w:ascii="Calibri" w:eastAsia="Calibri" w:hAnsi="Calibri" w:cs="Calibri"/>
          <w:color w:val="000000"/>
          <w:sz w:val="22"/>
          <w:szCs w:val="22"/>
        </w:rPr>
        <w:t xml:space="preserve">was first reported in 1962 as a combination of gastroesophageal reflux disease (GERD) with spastic torticollis and dystonic body movements with or without hiatal hernia occuring in children and adolescents. Although the true pathophysiological mechanisms of the condition are still unclear , it’s hypothesised that the position of the head provides relief from acid reflux. </w:t>
      </w:r>
      <w:r w:rsidR="008A63A5" w:rsidRPr="008A63A5">
        <w:rPr>
          <w:rFonts w:ascii="Calibri" w:eastAsia="Calibri" w:hAnsi="Calibri" w:cs="Calibri"/>
          <w:b/>
          <w:color w:val="000000"/>
          <w:sz w:val="22"/>
          <w:szCs w:val="22"/>
        </w:rPr>
        <w:t>Case presentations:</w:t>
      </w:r>
      <w:r w:rsidR="008A63A5">
        <w:rPr>
          <w:rFonts w:ascii="Calibri" w:eastAsia="Calibri" w:hAnsi="Calibri" w:cs="Calibri"/>
          <w:b/>
          <w:color w:val="000000"/>
          <w:sz w:val="22"/>
          <w:szCs w:val="22"/>
        </w:rPr>
        <w:t xml:space="preserve">  </w:t>
      </w:r>
      <w:r w:rsidR="008A63A5" w:rsidRPr="008A63A5">
        <w:rPr>
          <w:rFonts w:ascii="Calibri" w:eastAsia="Calibri" w:hAnsi="Calibri" w:cs="Calibri"/>
          <w:color w:val="000000"/>
          <w:sz w:val="22"/>
          <w:szCs w:val="22"/>
        </w:rPr>
        <w:t>A 3 month old female infant presented</w:t>
      </w:r>
      <w:r w:rsidR="008A63A5">
        <w:rPr>
          <w:rFonts w:ascii="Calibri" w:eastAsia="Calibri" w:hAnsi="Calibri" w:cs="Calibri"/>
          <w:b/>
          <w:color w:val="000000"/>
          <w:sz w:val="22"/>
          <w:szCs w:val="22"/>
        </w:rPr>
        <w:t xml:space="preserve"> </w:t>
      </w:r>
      <w:r w:rsidR="008A63A5" w:rsidRPr="008A63A5">
        <w:rPr>
          <w:rFonts w:ascii="Calibri" w:eastAsia="Calibri" w:hAnsi="Calibri" w:cs="Calibri"/>
          <w:color w:val="000000"/>
          <w:sz w:val="22"/>
          <w:szCs w:val="22"/>
        </w:rPr>
        <w:t>to our</w:t>
      </w:r>
      <w:r w:rsidR="008A63A5">
        <w:rPr>
          <w:rFonts w:ascii="Calibri" w:eastAsia="Calibri" w:hAnsi="Calibri" w:cs="Calibri"/>
          <w:b/>
          <w:color w:val="000000"/>
          <w:sz w:val="22"/>
          <w:szCs w:val="22"/>
        </w:rPr>
        <w:t xml:space="preserve"> </w:t>
      </w:r>
      <w:r w:rsidR="008A63A5">
        <w:rPr>
          <w:rFonts w:ascii="Calibri" w:eastAsia="Calibri" w:hAnsi="Calibri" w:cs="Calibri"/>
          <w:color w:val="000000"/>
          <w:sz w:val="22"/>
          <w:szCs w:val="22"/>
        </w:rPr>
        <w:t xml:space="preserve">polyclinic with dystonic episodes accompanying duration of 30s-1min during feeding </w:t>
      </w:r>
      <w:r w:rsidR="003F61C9">
        <w:rPr>
          <w:rFonts w:ascii="Calibri" w:eastAsia="Calibri" w:hAnsi="Calibri" w:cs="Calibri"/>
          <w:color w:val="000000"/>
          <w:sz w:val="22"/>
          <w:szCs w:val="22"/>
        </w:rPr>
        <w:t xml:space="preserve">associated with vomiting </w:t>
      </w:r>
      <w:r w:rsidR="008A63A5">
        <w:rPr>
          <w:rFonts w:ascii="Calibri" w:eastAsia="Calibri" w:hAnsi="Calibri" w:cs="Calibri"/>
          <w:color w:val="000000"/>
          <w:sz w:val="22"/>
          <w:szCs w:val="22"/>
        </w:rPr>
        <w:t>for 2 months.</w:t>
      </w:r>
      <w:r w:rsidR="003F61C9">
        <w:rPr>
          <w:rFonts w:ascii="Calibri" w:eastAsia="Calibri" w:hAnsi="Calibri" w:cs="Calibri"/>
          <w:color w:val="000000"/>
          <w:sz w:val="22"/>
          <w:szCs w:val="22"/>
        </w:rPr>
        <w:t xml:space="preserve"> Since the patient developed regurgitations with dystonic </w:t>
      </w:r>
      <w:r w:rsidR="006059FF">
        <w:rPr>
          <w:rFonts w:ascii="Calibri" w:eastAsia="Calibri" w:hAnsi="Calibri" w:cs="Calibri"/>
          <w:color w:val="000000"/>
          <w:sz w:val="22"/>
          <w:szCs w:val="22"/>
        </w:rPr>
        <w:t>episodes which were follo</w:t>
      </w:r>
      <w:r w:rsidR="003F61C9">
        <w:rPr>
          <w:rFonts w:ascii="Calibri" w:eastAsia="Calibri" w:hAnsi="Calibri" w:cs="Calibri"/>
          <w:color w:val="000000"/>
          <w:sz w:val="22"/>
          <w:szCs w:val="22"/>
        </w:rPr>
        <w:t>wed by long lasting crying attacks, the milestones of motor and mental development were normal.The EEG and MRI were normal.</w:t>
      </w:r>
      <w:r w:rsidR="006059FF">
        <w:rPr>
          <w:rFonts w:ascii="Calibri" w:eastAsia="Calibri" w:hAnsi="Calibri" w:cs="Calibri"/>
          <w:color w:val="000000"/>
          <w:sz w:val="22"/>
          <w:szCs w:val="22"/>
        </w:rPr>
        <w:t xml:space="preserve"> We had two similar cases in our polyclinic.</w:t>
      </w:r>
      <w:r w:rsidR="003F61C9">
        <w:rPr>
          <w:rFonts w:ascii="Calibri" w:eastAsia="Calibri" w:hAnsi="Calibri" w:cs="Calibri"/>
          <w:color w:val="000000"/>
          <w:sz w:val="22"/>
          <w:szCs w:val="22"/>
        </w:rPr>
        <w:t xml:space="preserve"> </w:t>
      </w:r>
      <w:r w:rsidR="003F61C9" w:rsidRPr="003F61C9">
        <w:rPr>
          <w:rFonts w:ascii="Calibri" w:eastAsia="Calibri" w:hAnsi="Calibri" w:cs="Calibri"/>
          <w:b/>
          <w:color w:val="000000"/>
          <w:sz w:val="22"/>
          <w:szCs w:val="22"/>
        </w:rPr>
        <w:t>Conclusion:</w:t>
      </w:r>
      <w:r w:rsidR="003F61C9">
        <w:rPr>
          <w:rFonts w:ascii="Calibri" w:eastAsia="Calibri" w:hAnsi="Calibri" w:cs="Calibri"/>
          <w:b/>
          <w:color w:val="000000"/>
          <w:sz w:val="22"/>
          <w:szCs w:val="22"/>
        </w:rPr>
        <w:t xml:space="preserve"> </w:t>
      </w:r>
      <w:r w:rsidR="003F61C9" w:rsidRPr="003F61C9">
        <w:rPr>
          <w:rFonts w:ascii="Calibri" w:eastAsia="Calibri" w:hAnsi="Calibri" w:cs="Calibri"/>
          <w:color w:val="000000"/>
          <w:sz w:val="22"/>
          <w:szCs w:val="22"/>
        </w:rPr>
        <w:t>The</w:t>
      </w:r>
      <w:r w:rsidR="003F61C9">
        <w:rPr>
          <w:rFonts w:ascii="Calibri" w:eastAsia="Calibri" w:hAnsi="Calibri" w:cs="Calibri"/>
          <w:color w:val="000000"/>
          <w:sz w:val="22"/>
          <w:szCs w:val="22"/>
        </w:rPr>
        <w:t xml:space="preserve"> early </w:t>
      </w:r>
      <w:r w:rsidR="006059FF">
        <w:rPr>
          <w:rFonts w:ascii="Calibri" w:eastAsia="Calibri" w:hAnsi="Calibri" w:cs="Calibri"/>
          <w:color w:val="000000"/>
          <w:sz w:val="22"/>
          <w:szCs w:val="22"/>
        </w:rPr>
        <w:t xml:space="preserve"> diagnosis and treatment of GERD in patients with SS enhance the success of medical management.In our cases to diagnose we based on typical clinical features and on response to medical treatment with antacids and prokinetics.The paroxysmal dystonic features dramatically resolved completely after anti reflux treatment in our patients.Few rep</w:t>
      </w:r>
      <w:r w:rsidR="00FE23BE">
        <w:rPr>
          <w:rFonts w:ascii="Calibri" w:eastAsia="Calibri" w:hAnsi="Calibri" w:cs="Calibri"/>
          <w:color w:val="000000"/>
          <w:sz w:val="22"/>
          <w:szCs w:val="22"/>
        </w:rPr>
        <w:t xml:space="preserve">orts of </w:t>
      </w:r>
      <w:r w:rsidR="006059FF">
        <w:rPr>
          <w:rFonts w:ascii="Calibri" w:eastAsia="Calibri" w:hAnsi="Calibri" w:cs="Calibri"/>
          <w:color w:val="000000"/>
          <w:sz w:val="22"/>
          <w:szCs w:val="22"/>
        </w:rPr>
        <w:t xml:space="preserve"> SS exist, yet it is probably underrecognised and mistreated, it might be on the interest to the scientific community.</w:t>
      </w:r>
    </w:p>
    <w:p w:rsidR="00221FE1" w:rsidRDefault="009D77A7">
      <w:pPr>
        <w:pStyle w:val="normal0"/>
        <w:spacing w:after="200"/>
      </w:pPr>
      <w:r>
        <w:rPr>
          <w:rFonts w:ascii="Calibri" w:eastAsia="Calibri" w:hAnsi="Calibri" w:cs="Calibri"/>
          <w:color w:val="000000"/>
          <w:sz w:val="28"/>
          <w:szCs w:val="28"/>
        </w:rPr>
        <w:t>Key words</w:t>
      </w:r>
      <w:r>
        <w:rPr>
          <w:rFonts w:ascii="Calibri" w:eastAsia="Calibri" w:hAnsi="Calibri" w:cs="Calibri"/>
          <w:color w:val="000000"/>
          <w:sz w:val="28"/>
          <w:szCs w:val="28"/>
        </w:rPr>
        <w:t xml:space="preserve">: </w:t>
      </w:r>
      <w:r>
        <w:rPr>
          <w:rFonts w:ascii="Calibri" w:eastAsia="Calibri" w:hAnsi="Calibri" w:cs="Calibri"/>
          <w:color w:val="000000"/>
        </w:rPr>
        <w:t> </w:t>
      </w:r>
      <w:r w:rsidR="004748CE">
        <w:rPr>
          <w:rFonts w:ascii="Calibri" w:eastAsia="Calibri" w:hAnsi="Calibri" w:cs="Calibri"/>
          <w:color w:val="000000"/>
          <w:sz w:val="22"/>
          <w:szCs w:val="22"/>
        </w:rPr>
        <w:t xml:space="preserve">Sandifer Syndrome, Gastroesophageal reflux, Dystonia </w:t>
      </w:r>
    </w:p>
    <w:p w:rsidR="00221FE1" w:rsidRDefault="00221FE1">
      <w:pPr>
        <w:pStyle w:val="normal0"/>
        <w:jc w:val="both"/>
        <w:rPr>
          <w:color w:val="000000"/>
        </w:rPr>
      </w:pPr>
    </w:p>
    <w:p w:rsidR="00221FE1" w:rsidRDefault="009D77A7">
      <w:pPr>
        <w:pStyle w:val="normal0"/>
        <w:jc w:val="both"/>
        <w:rPr>
          <w:b/>
        </w:rPr>
      </w:pPr>
      <w:r>
        <w:rPr>
          <w:b/>
        </w:rPr>
        <w:t>Biography</w:t>
      </w:r>
    </w:p>
    <w:p w:rsidR="00221FE1" w:rsidRDefault="00221FE1">
      <w:pPr>
        <w:pStyle w:val="normal0"/>
        <w:jc w:val="both"/>
        <w:rPr>
          <w:b/>
        </w:rPr>
      </w:pPr>
    </w:p>
    <w:p w:rsidR="00221FE1" w:rsidRDefault="009D77A7">
      <w:pPr>
        <w:pStyle w:val="normal0"/>
        <w:jc w:val="both"/>
        <w:rPr>
          <w:b/>
          <w:color w:val="000000"/>
        </w:rPr>
      </w:pPr>
      <w:r>
        <w:t>Ayşe Pervanlar has graduated as MD at the age of 25 years from Karadeniz Technical University Faculty of Medicine. She has worked in the Trabzon  OF  State Hospital Emergency Department as a general pra</w:t>
      </w:r>
      <w:r>
        <w:t>ctitioner between November 2012 and September 2013 and in Istanbul Medeniyet University as a family medicine resident  between  September  2013 and  April 2016. She has started Pediatric Residency in Maltepe University Faculty of Medicine in April 2016 and</w:t>
      </w:r>
      <w:r>
        <w:t xml:space="preserve"> she is currently a pediatric resident in Maltepe University Faculty of Medicine.</w:t>
      </w:r>
    </w:p>
    <w:p w:rsidR="00221FE1" w:rsidRDefault="009D77A7">
      <w:pPr>
        <w:pStyle w:val="normal0"/>
        <w:rPr>
          <w:b/>
        </w:rPr>
      </w:pPr>
      <w:r>
        <w:rPr>
          <w:b/>
        </w:rPr>
        <w:t xml:space="preserve">Presenting author details </w:t>
      </w:r>
      <w:r>
        <w:rPr>
          <w:b/>
        </w:rPr>
        <w:br/>
      </w:r>
      <w:r>
        <w:t>Full name: Ayşe Pervanlar</w:t>
      </w:r>
      <w:r>
        <w:br/>
        <w:t>Contact number:+90 5302812948</w:t>
      </w:r>
      <w:r>
        <w:br/>
        <w:t>Twitter account:</w:t>
      </w:r>
      <w:r>
        <w:br/>
        <w:t>Linked In account:</w:t>
      </w:r>
    </w:p>
    <w:p w:rsidR="00221FE1" w:rsidRDefault="009D77A7">
      <w:pPr>
        <w:pStyle w:val="normal0"/>
      </w:pPr>
      <w:r>
        <w:t>Session name/ number:4440620</w:t>
      </w:r>
      <w:r>
        <w:br/>
      </w:r>
      <w:r>
        <w:t>Category: Oral presentation</w:t>
      </w:r>
      <w:r>
        <w:br/>
      </w:r>
    </w:p>
    <w:p w:rsidR="00221FE1" w:rsidRDefault="00221FE1">
      <w:pPr>
        <w:pStyle w:val="normal0"/>
      </w:pPr>
    </w:p>
    <w:p w:rsidR="00221FE1" w:rsidRDefault="00221FE1">
      <w:pPr>
        <w:pStyle w:val="normal0"/>
      </w:pPr>
    </w:p>
    <w:p w:rsidR="00221FE1" w:rsidRDefault="00221FE1">
      <w:pPr>
        <w:pStyle w:val="normal0"/>
      </w:pPr>
    </w:p>
    <w:p w:rsidR="00221FE1" w:rsidRDefault="00221FE1">
      <w:pPr>
        <w:pStyle w:val="normal0"/>
      </w:pPr>
    </w:p>
    <w:p w:rsidR="00221FE1" w:rsidRDefault="00221FE1">
      <w:pPr>
        <w:pStyle w:val="normal0"/>
      </w:pPr>
    </w:p>
    <w:p w:rsidR="00221FE1" w:rsidRDefault="00221FE1">
      <w:pPr>
        <w:pStyle w:val="normal0"/>
      </w:pPr>
    </w:p>
    <w:p w:rsidR="00221FE1" w:rsidRDefault="00221FE1">
      <w:pPr>
        <w:pStyle w:val="normal0"/>
        <w:jc w:val="both"/>
      </w:pPr>
    </w:p>
    <w:sectPr w:rsidR="00221FE1" w:rsidSect="00221FE1">
      <w:headerReference w:type="even" r:id="rId7"/>
      <w:headerReference w:type="default" r:id="rId8"/>
      <w:footerReference w:type="even" r:id="rId9"/>
      <w:footerReference w:type="default" r:id="rId10"/>
      <w:headerReference w:type="first" r:id="rId11"/>
      <w:footerReference w:type="first" r:id="rId12"/>
      <w:pgSz w:w="11906" w:h="16838"/>
      <w:pgMar w:top="851" w:right="1134" w:bottom="1134" w:left="1134" w:header="709" w:footer="709" w:gutter="0"/>
      <w:pgNumType w:start="1"/>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77A7" w:rsidRDefault="009D77A7" w:rsidP="00221FE1">
      <w:r>
        <w:separator/>
      </w:r>
    </w:p>
  </w:endnote>
  <w:endnote w:type="continuationSeparator" w:id="1">
    <w:p w:rsidR="009D77A7" w:rsidRDefault="009D77A7" w:rsidP="00221FE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Georgia">
    <w:panose1 w:val="02040502050405020303"/>
    <w:charset w:val="00"/>
    <w:family w:val="auto"/>
    <w:pitch w:val="default"/>
    <w:sig w:usb0="00000000" w:usb1="00000000" w:usb2="00000000" w:usb3="00000000" w:csb0="00000000"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FE1" w:rsidRDefault="00221FE1">
    <w:pPr>
      <w:pStyle w:val="normal0"/>
      <w:pBdr>
        <w:top w:val="nil"/>
        <w:left w:val="nil"/>
        <w:bottom w:val="nil"/>
        <w:right w:val="nil"/>
        <w:between w:val="nil"/>
      </w:pBdr>
      <w:tabs>
        <w:tab w:val="center" w:pos="4819"/>
        <w:tab w:val="right" w:pos="9638"/>
      </w:tabs>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FE1" w:rsidRDefault="00221FE1">
    <w:pPr>
      <w:pStyle w:val="normal0"/>
      <w:pBdr>
        <w:top w:val="nil"/>
        <w:left w:val="nil"/>
        <w:bottom w:val="nil"/>
        <w:right w:val="nil"/>
        <w:between w:val="nil"/>
      </w:pBdr>
      <w:tabs>
        <w:tab w:val="center" w:pos="4819"/>
        <w:tab w:val="right" w:pos="9638"/>
      </w:tabs>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FE1" w:rsidRDefault="00221FE1">
    <w:pPr>
      <w:pStyle w:val="normal0"/>
      <w:pBdr>
        <w:top w:val="nil"/>
        <w:left w:val="nil"/>
        <w:bottom w:val="nil"/>
        <w:right w:val="nil"/>
        <w:between w:val="nil"/>
      </w:pBdr>
      <w:tabs>
        <w:tab w:val="center" w:pos="4819"/>
        <w:tab w:val="right" w:pos="9638"/>
      </w:tabs>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77A7" w:rsidRDefault="009D77A7" w:rsidP="00221FE1">
      <w:r>
        <w:separator/>
      </w:r>
    </w:p>
  </w:footnote>
  <w:footnote w:type="continuationSeparator" w:id="1">
    <w:p w:rsidR="009D77A7" w:rsidRDefault="009D77A7" w:rsidP="00221FE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FE1" w:rsidRDefault="00221FE1">
    <w:pPr>
      <w:pStyle w:val="normal0"/>
      <w:pBdr>
        <w:top w:val="nil"/>
        <w:left w:val="nil"/>
        <w:bottom w:val="nil"/>
        <w:right w:val="nil"/>
        <w:between w:val="nil"/>
      </w:pBdr>
      <w:tabs>
        <w:tab w:val="center" w:pos="4819"/>
        <w:tab w:val="right" w:pos="9638"/>
      </w:tabs>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FE1" w:rsidRDefault="00221FE1">
    <w:pPr>
      <w:pStyle w:val="normal0"/>
      <w:pBdr>
        <w:top w:val="nil"/>
        <w:left w:val="nil"/>
        <w:bottom w:val="nil"/>
        <w:right w:val="nil"/>
        <w:between w:val="nil"/>
      </w:pBdr>
      <w:tabs>
        <w:tab w:val="center" w:pos="4819"/>
        <w:tab w:val="right" w:pos="9638"/>
      </w:tabs>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FE1" w:rsidRDefault="00221FE1">
    <w:pPr>
      <w:pStyle w:val="normal0"/>
      <w:pBdr>
        <w:top w:val="nil"/>
        <w:left w:val="nil"/>
        <w:bottom w:val="nil"/>
        <w:right w:val="nil"/>
        <w:between w:val="nil"/>
      </w:pBdr>
      <w:tabs>
        <w:tab w:val="center" w:pos="4819"/>
        <w:tab w:val="right" w:pos="9638"/>
      </w:tabs>
      <w:rPr>
        <w:color w:val="00000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tr-TR" w:vendorID="1" w:dllVersion="512" w:checkStyle="1"/>
  <w:defaultTabStop w:val="720"/>
  <w:hyphenationZone w:val="425"/>
  <w:evenAndOddHeaders/>
  <w:characterSpacingControl w:val="doNotCompress"/>
  <w:footnotePr>
    <w:footnote w:id="0"/>
    <w:footnote w:id="1"/>
  </w:footnotePr>
  <w:endnotePr>
    <w:endnote w:id="0"/>
    <w:endnote w:id="1"/>
  </w:endnotePr>
  <w:compat/>
  <w:rsids>
    <w:rsidRoot w:val="00221FE1"/>
    <w:rsid w:val="00221FE1"/>
    <w:rsid w:val="003F61C9"/>
    <w:rsid w:val="004748CE"/>
    <w:rsid w:val="006059FF"/>
    <w:rsid w:val="008A63A5"/>
    <w:rsid w:val="009D77A7"/>
    <w:rsid w:val="00FE23B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0"/>
    <w:next w:val="normal0"/>
    <w:rsid w:val="00221FE1"/>
    <w:pPr>
      <w:keepNext/>
      <w:jc w:val="center"/>
      <w:outlineLvl w:val="0"/>
    </w:pPr>
    <w:rPr>
      <w:rFonts w:ascii="Cambria" w:eastAsia="Cambria" w:hAnsi="Cambria" w:cs="Cambria"/>
      <w:b/>
      <w:sz w:val="32"/>
      <w:szCs w:val="32"/>
    </w:rPr>
  </w:style>
  <w:style w:type="paragraph" w:styleId="Balk2">
    <w:name w:val="heading 2"/>
    <w:basedOn w:val="normal0"/>
    <w:next w:val="normal0"/>
    <w:rsid w:val="00221FE1"/>
    <w:pPr>
      <w:keepNext/>
      <w:keepLines/>
      <w:spacing w:before="360" w:after="80"/>
      <w:outlineLvl w:val="1"/>
    </w:pPr>
    <w:rPr>
      <w:b/>
      <w:sz w:val="36"/>
      <w:szCs w:val="36"/>
    </w:rPr>
  </w:style>
  <w:style w:type="paragraph" w:styleId="Balk3">
    <w:name w:val="heading 3"/>
    <w:basedOn w:val="normal0"/>
    <w:next w:val="normal0"/>
    <w:rsid w:val="00221FE1"/>
    <w:pPr>
      <w:keepNext/>
      <w:spacing w:before="240" w:after="60"/>
      <w:outlineLvl w:val="2"/>
    </w:pPr>
    <w:rPr>
      <w:rFonts w:ascii="Cambria" w:eastAsia="Cambria" w:hAnsi="Cambria" w:cs="Cambria"/>
      <w:b/>
      <w:sz w:val="26"/>
      <w:szCs w:val="26"/>
    </w:rPr>
  </w:style>
  <w:style w:type="paragraph" w:styleId="Balk4">
    <w:name w:val="heading 4"/>
    <w:basedOn w:val="normal0"/>
    <w:next w:val="normal0"/>
    <w:rsid w:val="00221FE1"/>
    <w:pPr>
      <w:keepNext/>
      <w:keepLines/>
      <w:spacing w:before="240" w:after="40"/>
      <w:outlineLvl w:val="3"/>
    </w:pPr>
    <w:rPr>
      <w:b/>
    </w:rPr>
  </w:style>
  <w:style w:type="paragraph" w:styleId="Balk5">
    <w:name w:val="heading 5"/>
    <w:basedOn w:val="normal0"/>
    <w:next w:val="normal0"/>
    <w:rsid w:val="00221FE1"/>
    <w:pPr>
      <w:keepNext/>
      <w:keepLines/>
      <w:spacing w:before="220" w:after="40"/>
      <w:outlineLvl w:val="4"/>
    </w:pPr>
    <w:rPr>
      <w:b/>
      <w:sz w:val="22"/>
      <w:szCs w:val="22"/>
    </w:rPr>
  </w:style>
  <w:style w:type="paragraph" w:styleId="Balk6">
    <w:name w:val="heading 6"/>
    <w:basedOn w:val="normal0"/>
    <w:next w:val="normal0"/>
    <w:rsid w:val="00221FE1"/>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normal0">
    <w:name w:val="normal"/>
    <w:rsid w:val="00221FE1"/>
  </w:style>
  <w:style w:type="table" w:customStyle="1" w:styleId="TableNormal">
    <w:name w:val="Table Normal"/>
    <w:rsid w:val="00221FE1"/>
    <w:tblPr>
      <w:tblCellMar>
        <w:top w:w="0" w:type="dxa"/>
        <w:left w:w="0" w:type="dxa"/>
        <w:bottom w:w="0" w:type="dxa"/>
        <w:right w:w="0" w:type="dxa"/>
      </w:tblCellMar>
    </w:tblPr>
  </w:style>
  <w:style w:type="paragraph" w:styleId="KonuBal">
    <w:name w:val="Title"/>
    <w:basedOn w:val="normal0"/>
    <w:next w:val="normal0"/>
    <w:rsid w:val="00221FE1"/>
    <w:pPr>
      <w:keepNext/>
      <w:keepLines/>
      <w:spacing w:before="480" w:after="120"/>
    </w:pPr>
    <w:rPr>
      <w:b/>
      <w:sz w:val="72"/>
      <w:szCs w:val="72"/>
    </w:rPr>
  </w:style>
  <w:style w:type="paragraph" w:styleId="AltKonuBal">
    <w:name w:val="Subtitle"/>
    <w:basedOn w:val="normal0"/>
    <w:next w:val="normal0"/>
    <w:rsid w:val="00221FE1"/>
    <w:pPr>
      <w:keepNext/>
      <w:keepLines/>
      <w:spacing w:before="360" w:after="80"/>
    </w:pPr>
    <w:rPr>
      <w:rFonts w:ascii="Georgia" w:eastAsia="Georgia" w:hAnsi="Georgia" w:cs="Georgia"/>
      <w:i/>
      <w:color w:val="666666"/>
      <w:sz w:val="48"/>
      <w:szCs w:val="48"/>
    </w:rPr>
  </w:style>
  <w:style w:type="paragraph" w:styleId="BalonMetni">
    <w:name w:val="Balloon Text"/>
    <w:basedOn w:val="Normal"/>
    <w:link w:val="BalonMetniChar"/>
    <w:uiPriority w:val="99"/>
    <w:semiHidden/>
    <w:unhideWhenUsed/>
    <w:rsid w:val="008A63A5"/>
    <w:rPr>
      <w:rFonts w:ascii="Tahoma" w:hAnsi="Tahoma" w:cs="Tahoma"/>
      <w:sz w:val="16"/>
      <w:szCs w:val="16"/>
    </w:rPr>
  </w:style>
  <w:style w:type="character" w:customStyle="1" w:styleId="BalonMetniChar">
    <w:name w:val="Balon Metni Char"/>
    <w:basedOn w:val="VarsaylanParagrafYazTipi"/>
    <w:link w:val="BalonMetni"/>
    <w:uiPriority w:val="99"/>
    <w:semiHidden/>
    <w:rsid w:val="008A63A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2</Pages>
  <Words>365</Words>
  <Characters>2083</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maltepeunvhst</Company>
  <LinksUpToDate>false</LinksUpToDate>
  <CharactersWithSpaces>2444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ASUS-PC</cp:lastModifiedBy>
  <cp:revision>6</cp:revision>
  <dcterms:created xsi:type="dcterms:W3CDTF">2020-02-25T09:51:00Z</dcterms:created>
  <dcterms:modified xsi:type="dcterms:W3CDTF">2020-02-25T12:07:00Z</dcterms:modified>
</cp:coreProperties>
</file>