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D06" w:rsidRPr="001161A1" w:rsidRDefault="001F46DA" w:rsidP="00A02EEA">
      <w:pPr>
        <w:jc w:val="center"/>
        <w:rPr>
          <w:rFonts w:asciiTheme="majorBidi" w:eastAsia="Calibri" w:hAnsiTheme="majorBidi" w:cstheme="majorBidi"/>
          <w:sz w:val="24"/>
        </w:rPr>
      </w:pPr>
      <w:r w:rsidRPr="001161A1">
        <w:rPr>
          <w:rFonts w:asciiTheme="majorBidi" w:eastAsia="Calibri" w:hAnsiTheme="majorBidi" w:cstheme="majorBidi"/>
          <w:b/>
          <w:color w:val="C0504D"/>
          <w:sz w:val="32"/>
        </w:rPr>
        <w:t>Vitamin D and Pregnancy C</w:t>
      </w:r>
      <w:r w:rsidR="00AC2D06" w:rsidRPr="001161A1">
        <w:rPr>
          <w:rFonts w:asciiTheme="majorBidi" w:eastAsia="Calibri" w:hAnsiTheme="majorBidi" w:cstheme="majorBidi"/>
          <w:b/>
          <w:color w:val="C0504D"/>
          <w:sz w:val="32"/>
        </w:rPr>
        <w:t>omplications</w:t>
      </w:r>
      <w:r w:rsidRPr="001161A1">
        <w:rPr>
          <w:rFonts w:asciiTheme="majorBidi" w:eastAsia="Calibri" w:hAnsiTheme="majorBidi" w:cstheme="majorBidi"/>
          <w:b/>
          <w:color w:val="C0504D"/>
          <w:sz w:val="32"/>
        </w:rPr>
        <w:t xml:space="preserve"> Dilemma</w:t>
      </w:r>
      <w:r w:rsidR="00AC2D06" w:rsidRPr="001161A1">
        <w:rPr>
          <w:rFonts w:asciiTheme="majorBidi" w:eastAsia="Calibri" w:hAnsiTheme="majorBidi" w:cstheme="majorBidi"/>
          <w:b/>
          <w:color w:val="C0504D"/>
          <w:sz w:val="32"/>
        </w:rPr>
        <w:t xml:space="preserve"> </w:t>
      </w:r>
    </w:p>
    <w:p w:rsidR="00AC2D06" w:rsidRPr="00151288" w:rsidRDefault="00AC2D06" w:rsidP="00151288">
      <w:pPr>
        <w:rPr>
          <w:rFonts w:asciiTheme="majorBidi" w:eastAsia="Calibri" w:hAnsiTheme="majorBidi" w:cstheme="majorBidi"/>
          <w:b/>
          <w:sz w:val="28"/>
          <w:szCs w:val="28"/>
          <w:vertAlign w:val="superscript"/>
        </w:rPr>
      </w:pPr>
      <w:r w:rsidRPr="001161A1">
        <w:rPr>
          <w:rFonts w:asciiTheme="majorBidi" w:eastAsia="Calibri" w:hAnsiTheme="majorBidi" w:cstheme="majorBidi"/>
          <w:color w:val="004DBB"/>
          <w:sz w:val="24"/>
        </w:rPr>
        <w:t xml:space="preserve">                                                 </w:t>
      </w:r>
      <w:r w:rsidR="00151288">
        <w:rPr>
          <w:rFonts w:asciiTheme="majorBidi" w:eastAsia="Calibri" w:hAnsiTheme="majorBidi" w:cstheme="majorBidi"/>
          <w:b/>
          <w:color w:val="004DBB"/>
          <w:sz w:val="28"/>
          <w:szCs w:val="28"/>
        </w:rPr>
        <w:t xml:space="preserve">Ibrahim A </w:t>
      </w:r>
      <w:r w:rsidRPr="00151288">
        <w:rPr>
          <w:rFonts w:asciiTheme="majorBidi" w:eastAsia="Calibri" w:hAnsiTheme="majorBidi" w:cstheme="majorBidi"/>
          <w:b/>
          <w:color w:val="004DBB"/>
          <w:sz w:val="28"/>
          <w:szCs w:val="28"/>
        </w:rPr>
        <w:t>Albahlo</w:t>
      </w:r>
      <w:r w:rsidR="00151288">
        <w:rPr>
          <w:rFonts w:asciiTheme="majorBidi" w:eastAsia="Calibri" w:hAnsiTheme="majorBidi" w:cstheme="majorBidi"/>
          <w:b/>
          <w:color w:val="004DBB"/>
          <w:sz w:val="28"/>
          <w:szCs w:val="28"/>
        </w:rPr>
        <w:t>l</w:t>
      </w:r>
      <w:r w:rsidRPr="00151288">
        <w:rPr>
          <w:rFonts w:asciiTheme="majorBidi" w:eastAsia="Calibri" w:hAnsiTheme="majorBidi" w:cstheme="majorBidi"/>
          <w:b/>
          <w:color w:val="646B86"/>
          <w:sz w:val="28"/>
          <w:szCs w:val="28"/>
          <w:vertAlign w:val="superscript"/>
        </w:rPr>
        <w:t xml:space="preserve"> </w:t>
      </w:r>
    </w:p>
    <w:p w:rsidR="00AC2D06" w:rsidRDefault="00AC2D06" w:rsidP="00151288">
      <w:pPr>
        <w:spacing w:line="276" w:lineRule="auto"/>
        <w:jc w:val="both"/>
        <w:rPr>
          <w:rFonts w:asciiTheme="majorBidi" w:eastAsia="Calibri" w:hAnsiTheme="majorBidi" w:cstheme="majorBidi"/>
          <w:b/>
          <w:sz w:val="28"/>
          <w:szCs w:val="28"/>
          <w:vertAlign w:val="superscript"/>
        </w:rPr>
      </w:pPr>
      <w:r w:rsidRPr="00151288">
        <w:rPr>
          <w:rFonts w:asciiTheme="majorBidi" w:eastAsia="Calibri" w:hAnsiTheme="majorBidi" w:cstheme="majorBidi"/>
          <w:b/>
          <w:sz w:val="28"/>
          <w:szCs w:val="28"/>
          <w:vertAlign w:val="superscript"/>
        </w:rPr>
        <w:t xml:space="preserve">Department of Obstetrics and </w:t>
      </w:r>
      <w:r w:rsidR="00151288" w:rsidRPr="00151288">
        <w:rPr>
          <w:rFonts w:asciiTheme="majorBidi" w:eastAsia="Calibri" w:hAnsiTheme="majorBidi" w:cstheme="majorBidi"/>
          <w:b/>
          <w:sz w:val="28"/>
          <w:szCs w:val="28"/>
          <w:vertAlign w:val="superscript"/>
        </w:rPr>
        <w:t>Gynecology, College</w:t>
      </w:r>
      <w:r w:rsidRPr="00151288">
        <w:rPr>
          <w:rFonts w:asciiTheme="majorBidi" w:eastAsia="Calibri" w:hAnsiTheme="majorBidi" w:cstheme="majorBidi"/>
          <w:b/>
          <w:sz w:val="28"/>
          <w:szCs w:val="28"/>
          <w:vertAlign w:val="superscript"/>
        </w:rPr>
        <w:t xml:space="preserve"> of Medicine, Jouf </w:t>
      </w:r>
      <w:r w:rsidR="00151288" w:rsidRPr="00151288">
        <w:rPr>
          <w:rFonts w:asciiTheme="majorBidi" w:eastAsia="Calibri" w:hAnsiTheme="majorBidi" w:cstheme="majorBidi"/>
          <w:b/>
          <w:sz w:val="28"/>
          <w:szCs w:val="28"/>
          <w:vertAlign w:val="superscript"/>
        </w:rPr>
        <w:t>University, KSA, Mansoura University, Egypt</w:t>
      </w:r>
    </w:p>
    <w:p w:rsidR="00151288" w:rsidRPr="00151288" w:rsidRDefault="00151288" w:rsidP="00151288">
      <w:pPr>
        <w:spacing w:line="276" w:lineRule="auto"/>
        <w:jc w:val="both"/>
        <w:rPr>
          <w:rFonts w:asciiTheme="majorBidi" w:eastAsia="Calibri" w:hAnsiTheme="majorBidi" w:cstheme="majorBidi"/>
          <w:b/>
          <w:sz w:val="28"/>
          <w:szCs w:val="28"/>
        </w:rPr>
      </w:pPr>
    </w:p>
    <w:p w:rsidR="00AC2D06" w:rsidRPr="00151288" w:rsidRDefault="00AC2D06" w:rsidP="00151288">
      <w:pPr>
        <w:spacing w:line="276" w:lineRule="auto"/>
        <w:jc w:val="both"/>
        <w:rPr>
          <w:rFonts w:asciiTheme="majorBidi" w:eastAsia="Times New Roman" w:hAnsiTheme="majorBidi" w:cstheme="majorBidi"/>
          <w:sz w:val="24"/>
          <w:szCs w:val="24"/>
        </w:rPr>
      </w:pPr>
      <w:r w:rsidRPr="00151288">
        <w:rPr>
          <w:rFonts w:asciiTheme="majorBidi" w:eastAsia="Calibri" w:hAnsiTheme="majorBidi" w:cstheme="majorBidi"/>
          <w:b/>
          <w:color w:val="C00000"/>
          <w:sz w:val="24"/>
          <w:szCs w:val="24"/>
          <w:u w:val="single"/>
        </w:rPr>
        <w:t>Background</w:t>
      </w:r>
      <w:r w:rsidRPr="00151288">
        <w:rPr>
          <w:rFonts w:asciiTheme="majorBidi" w:eastAsia="Calibri" w:hAnsiTheme="majorBidi" w:cstheme="majorBidi"/>
          <w:b/>
          <w:color w:val="C00000"/>
          <w:sz w:val="24"/>
          <w:szCs w:val="24"/>
        </w:rPr>
        <w:t>:</w:t>
      </w:r>
      <w:r w:rsidRPr="00151288">
        <w:rPr>
          <w:rFonts w:asciiTheme="majorBidi" w:eastAsia="Times New Roman" w:hAnsiTheme="majorBidi" w:cstheme="majorBidi"/>
          <w:sz w:val="24"/>
          <w:szCs w:val="24"/>
        </w:rPr>
        <w:t xml:space="preserve"> Vitamin D deﬁciency during pregnancy has been associated with some adverse neonatal outcomes as well as an increased risk of late pregnancy complications that include preeclampsia, gestational diabetes mellitus and increased risk of preterm </w:t>
      </w:r>
      <w:r w:rsidR="00151288" w:rsidRPr="00151288">
        <w:rPr>
          <w:rFonts w:asciiTheme="majorBidi" w:eastAsia="Times New Roman" w:hAnsiTheme="majorBidi" w:cstheme="majorBidi"/>
          <w:sz w:val="24"/>
          <w:szCs w:val="24"/>
        </w:rPr>
        <w:t>labor</w:t>
      </w:r>
      <w:r w:rsidRPr="00151288">
        <w:rPr>
          <w:rFonts w:asciiTheme="majorBidi" w:eastAsia="Times New Roman" w:hAnsiTheme="majorBidi" w:cstheme="majorBidi"/>
          <w:sz w:val="24"/>
          <w:szCs w:val="24"/>
        </w:rPr>
        <w:t>.</w:t>
      </w:r>
    </w:p>
    <w:p w:rsidR="00AC2D06" w:rsidRPr="00151288" w:rsidRDefault="00AC2D06" w:rsidP="00151288">
      <w:pPr>
        <w:spacing w:line="276" w:lineRule="auto"/>
        <w:jc w:val="both"/>
        <w:rPr>
          <w:rFonts w:asciiTheme="majorBidi" w:eastAsia="Times New Roman" w:hAnsiTheme="majorBidi" w:cstheme="majorBidi"/>
          <w:sz w:val="24"/>
          <w:szCs w:val="24"/>
        </w:rPr>
      </w:pPr>
      <w:r w:rsidRPr="00151288">
        <w:rPr>
          <w:rFonts w:asciiTheme="majorBidi" w:eastAsia="Times New Roman" w:hAnsiTheme="majorBidi" w:cstheme="majorBidi"/>
          <w:b/>
          <w:color w:val="C00000"/>
          <w:sz w:val="24"/>
          <w:szCs w:val="24"/>
          <w:u w:val="single"/>
        </w:rPr>
        <w:t>Aim of work</w:t>
      </w:r>
      <w:r w:rsidRPr="00151288">
        <w:rPr>
          <w:rFonts w:asciiTheme="majorBidi" w:eastAsia="Times New Roman" w:hAnsiTheme="majorBidi" w:cstheme="majorBidi"/>
          <w:bCs/>
          <w:color w:val="C00000"/>
          <w:sz w:val="24"/>
          <w:szCs w:val="24"/>
        </w:rPr>
        <w:t>:</w:t>
      </w:r>
      <w:r w:rsidR="00151288" w:rsidRPr="00151288">
        <w:rPr>
          <w:rFonts w:asciiTheme="majorBidi" w:eastAsia="Times New Roman" w:hAnsiTheme="majorBidi" w:cstheme="majorBidi"/>
          <w:sz w:val="24"/>
          <w:szCs w:val="24"/>
        </w:rPr>
        <w:t xml:space="preserve"> T</w:t>
      </w:r>
      <w:r w:rsidRPr="00151288">
        <w:rPr>
          <w:rFonts w:asciiTheme="majorBidi" w:eastAsia="Times New Roman" w:hAnsiTheme="majorBidi" w:cstheme="majorBidi"/>
          <w:sz w:val="24"/>
          <w:szCs w:val="24"/>
        </w:rPr>
        <w:t xml:space="preserve">o assess the </w:t>
      </w:r>
      <w:r w:rsidR="00151288" w:rsidRPr="00151288">
        <w:rPr>
          <w:rFonts w:asciiTheme="majorBidi" w:eastAsia="Times New Roman" w:hAnsiTheme="majorBidi" w:cstheme="majorBidi"/>
          <w:sz w:val="24"/>
          <w:szCs w:val="24"/>
        </w:rPr>
        <w:t>correlation</w:t>
      </w:r>
      <w:r w:rsidR="001F46DA" w:rsidRPr="00151288">
        <w:rPr>
          <w:rFonts w:asciiTheme="majorBidi" w:eastAsia="Times New Roman" w:hAnsiTheme="majorBidi" w:cstheme="majorBidi"/>
          <w:sz w:val="24"/>
          <w:szCs w:val="24"/>
        </w:rPr>
        <w:t xml:space="preserve"> of</w:t>
      </w:r>
      <w:r w:rsidRPr="00151288">
        <w:rPr>
          <w:rFonts w:asciiTheme="majorBidi" w:eastAsia="Times New Roman" w:hAnsiTheme="majorBidi" w:cstheme="majorBidi"/>
          <w:sz w:val="24"/>
          <w:szCs w:val="24"/>
        </w:rPr>
        <w:t xml:space="preserve"> </w:t>
      </w:r>
      <w:r w:rsidR="00151288" w:rsidRPr="00151288">
        <w:rPr>
          <w:rFonts w:asciiTheme="majorBidi" w:eastAsia="Times New Roman" w:hAnsiTheme="majorBidi" w:cstheme="majorBidi"/>
          <w:sz w:val="24"/>
          <w:szCs w:val="24"/>
        </w:rPr>
        <w:t>pregnant</w:t>
      </w:r>
      <w:r w:rsidRPr="00151288">
        <w:rPr>
          <w:rFonts w:asciiTheme="majorBidi" w:eastAsia="Times New Roman" w:hAnsiTheme="majorBidi" w:cstheme="majorBidi"/>
          <w:sz w:val="24"/>
          <w:szCs w:val="24"/>
        </w:rPr>
        <w:t xml:space="preserve"> serum Vit D level and different pregnancy complications regarding both mother and fetus and assess whether feto-maternal morbidities </w:t>
      </w:r>
      <w:r w:rsidR="00151288" w:rsidRPr="00151288">
        <w:rPr>
          <w:rFonts w:asciiTheme="majorBidi" w:eastAsia="Times New Roman" w:hAnsiTheme="majorBidi" w:cstheme="majorBidi"/>
          <w:sz w:val="24"/>
          <w:szCs w:val="24"/>
        </w:rPr>
        <w:t>are</w:t>
      </w:r>
      <w:r w:rsidRPr="00151288">
        <w:rPr>
          <w:rFonts w:asciiTheme="majorBidi" w:eastAsia="Times New Roman" w:hAnsiTheme="majorBidi" w:cstheme="majorBidi"/>
          <w:sz w:val="24"/>
          <w:szCs w:val="24"/>
        </w:rPr>
        <w:t xml:space="preserve"> associated with hypovitaminosis D or not.</w:t>
      </w:r>
    </w:p>
    <w:p w:rsidR="00AC2D06" w:rsidRPr="00151288" w:rsidRDefault="00AC2D06" w:rsidP="00151288">
      <w:pPr>
        <w:spacing w:line="276" w:lineRule="auto"/>
        <w:jc w:val="both"/>
        <w:rPr>
          <w:rFonts w:asciiTheme="majorBidi" w:eastAsia="Times New Roman" w:hAnsiTheme="majorBidi" w:cstheme="majorBidi"/>
          <w:color w:val="000000"/>
          <w:sz w:val="24"/>
          <w:szCs w:val="24"/>
        </w:rPr>
      </w:pPr>
      <w:r w:rsidRPr="00151288">
        <w:rPr>
          <w:rFonts w:asciiTheme="majorBidi" w:eastAsia="Times New Roman" w:hAnsiTheme="majorBidi" w:cstheme="majorBidi"/>
          <w:b/>
          <w:color w:val="C00000"/>
          <w:sz w:val="24"/>
          <w:szCs w:val="24"/>
          <w:u w:val="single"/>
        </w:rPr>
        <w:t>Patients and Methods</w:t>
      </w:r>
      <w:r w:rsidRPr="00151288">
        <w:rPr>
          <w:rFonts w:asciiTheme="majorBidi" w:eastAsia="Times New Roman" w:hAnsiTheme="majorBidi" w:cstheme="majorBidi"/>
          <w:color w:val="C00000"/>
          <w:sz w:val="24"/>
          <w:szCs w:val="24"/>
          <w:u w:val="single"/>
        </w:rPr>
        <w:t>:</w:t>
      </w:r>
      <w:r w:rsidRPr="00151288">
        <w:rPr>
          <w:rFonts w:asciiTheme="majorBidi" w:eastAsia="Times New Roman" w:hAnsiTheme="majorBidi" w:cstheme="majorBidi"/>
          <w:sz w:val="24"/>
          <w:szCs w:val="24"/>
        </w:rPr>
        <w:t xml:space="preserve"> 322 participants who </w:t>
      </w:r>
      <w:r w:rsidR="00151288" w:rsidRPr="00151288">
        <w:rPr>
          <w:rFonts w:asciiTheme="majorBidi" w:eastAsia="Times New Roman" w:hAnsiTheme="majorBidi" w:cstheme="majorBidi"/>
          <w:sz w:val="24"/>
          <w:szCs w:val="24"/>
        </w:rPr>
        <w:t>meted</w:t>
      </w:r>
      <w:r w:rsidRPr="00151288">
        <w:rPr>
          <w:rFonts w:asciiTheme="majorBidi" w:eastAsia="Times New Roman" w:hAnsiTheme="majorBidi" w:cstheme="majorBidi"/>
          <w:sz w:val="24"/>
          <w:szCs w:val="24"/>
        </w:rPr>
        <w:t xml:space="preserve"> the inclusion citerias were classified into 2 groups. The first one was 110 </w:t>
      </w:r>
      <w:r w:rsidR="00151288" w:rsidRPr="00151288">
        <w:rPr>
          <w:rFonts w:asciiTheme="majorBidi" w:eastAsia="Times New Roman" w:hAnsiTheme="majorBidi" w:cstheme="majorBidi"/>
          <w:sz w:val="24"/>
          <w:szCs w:val="24"/>
        </w:rPr>
        <w:t>pregnant</w:t>
      </w:r>
      <w:r w:rsidRPr="00151288">
        <w:rPr>
          <w:rFonts w:asciiTheme="majorBidi" w:eastAsia="Times New Roman" w:hAnsiTheme="majorBidi" w:cstheme="majorBidi"/>
          <w:sz w:val="24"/>
          <w:szCs w:val="24"/>
        </w:rPr>
        <w:t xml:space="preserve"> with normal pregnancy regarding both fetal and maternal conditions were selected as control </w:t>
      </w:r>
      <w:r w:rsidR="00151288" w:rsidRPr="00151288">
        <w:rPr>
          <w:rFonts w:asciiTheme="majorBidi" w:eastAsia="Times New Roman" w:hAnsiTheme="majorBidi" w:cstheme="majorBidi"/>
          <w:sz w:val="24"/>
          <w:szCs w:val="24"/>
        </w:rPr>
        <w:t>group. The</w:t>
      </w:r>
      <w:r w:rsidRPr="00151288">
        <w:rPr>
          <w:rFonts w:asciiTheme="majorBidi" w:eastAsia="Times New Roman" w:hAnsiTheme="majorBidi" w:cstheme="majorBidi"/>
          <w:sz w:val="24"/>
          <w:szCs w:val="24"/>
        </w:rPr>
        <w:t xml:space="preserve"> second one was 212 </w:t>
      </w:r>
      <w:r w:rsidR="00151288" w:rsidRPr="00151288">
        <w:rPr>
          <w:rFonts w:asciiTheme="majorBidi" w:eastAsia="Times New Roman" w:hAnsiTheme="majorBidi" w:cstheme="majorBidi"/>
          <w:sz w:val="24"/>
          <w:szCs w:val="24"/>
        </w:rPr>
        <w:t>pregnant</w:t>
      </w:r>
      <w:r w:rsidRPr="00151288">
        <w:rPr>
          <w:rFonts w:asciiTheme="majorBidi" w:eastAsia="Times New Roman" w:hAnsiTheme="majorBidi" w:cstheme="majorBidi"/>
          <w:sz w:val="24"/>
          <w:szCs w:val="24"/>
        </w:rPr>
        <w:t xml:space="preserve"> suffering from pregnancy complications and were further </w:t>
      </w:r>
      <w:r w:rsidR="00151288" w:rsidRPr="00151288">
        <w:rPr>
          <w:rFonts w:asciiTheme="majorBidi" w:eastAsia="Times New Roman" w:hAnsiTheme="majorBidi" w:cstheme="majorBidi"/>
          <w:sz w:val="24"/>
          <w:szCs w:val="24"/>
        </w:rPr>
        <w:t>subdivided</w:t>
      </w:r>
      <w:r w:rsidRPr="00151288">
        <w:rPr>
          <w:rFonts w:asciiTheme="majorBidi" w:eastAsia="Times New Roman" w:hAnsiTheme="majorBidi" w:cstheme="majorBidi"/>
          <w:sz w:val="24"/>
          <w:szCs w:val="24"/>
        </w:rPr>
        <w:t xml:space="preserve"> into,58 cases with severe </w:t>
      </w:r>
      <w:r w:rsidR="00151288" w:rsidRPr="00151288">
        <w:rPr>
          <w:rFonts w:asciiTheme="majorBidi" w:eastAsia="Times New Roman" w:hAnsiTheme="majorBidi" w:cstheme="majorBidi"/>
          <w:sz w:val="24"/>
          <w:szCs w:val="24"/>
        </w:rPr>
        <w:t>preeclampsia</w:t>
      </w:r>
      <w:r w:rsidRPr="00151288">
        <w:rPr>
          <w:rFonts w:asciiTheme="majorBidi" w:eastAsia="Times New Roman" w:hAnsiTheme="majorBidi" w:cstheme="majorBidi"/>
          <w:sz w:val="24"/>
          <w:szCs w:val="24"/>
        </w:rPr>
        <w:t xml:space="preserve"> </w:t>
      </w:r>
      <w:r w:rsidR="00151288" w:rsidRPr="00151288">
        <w:rPr>
          <w:rFonts w:asciiTheme="majorBidi" w:eastAsia="Times New Roman" w:hAnsiTheme="majorBidi" w:cstheme="majorBidi"/>
          <w:sz w:val="24"/>
          <w:szCs w:val="24"/>
        </w:rPr>
        <w:t>toxemia</w:t>
      </w:r>
      <w:r w:rsidRPr="00151288">
        <w:rPr>
          <w:rFonts w:asciiTheme="majorBidi" w:eastAsia="Times New Roman" w:hAnsiTheme="majorBidi" w:cstheme="majorBidi"/>
          <w:sz w:val="24"/>
          <w:szCs w:val="24"/>
        </w:rPr>
        <w:t xml:space="preserve"> associated with intrauterine growth restriction, 82 case with GDM, 26 cases of abortion, 16 cases undisturbed ectopic pregnancy,14 case with premature rupture of </w:t>
      </w:r>
      <w:r w:rsidR="00151288" w:rsidRPr="00151288">
        <w:rPr>
          <w:rFonts w:asciiTheme="majorBidi" w:eastAsia="Times New Roman" w:hAnsiTheme="majorBidi" w:cstheme="majorBidi"/>
          <w:sz w:val="24"/>
          <w:szCs w:val="24"/>
        </w:rPr>
        <w:t>membranes</w:t>
      </w:r>
      <w:r w:rsidRPr="00151288">
        <w:rPr>
          <w:rFonts w:asciiTheme="majorBidi" w:eastAsia="Times New Roman" w:hAnsiTheme="majorBidi" w:cstheme="majorBidi"/>
          <w:sz w:val="24"/>
          <w:szCs w:val="24"/>
        </w:rPr>
        <w:t xml:space="preserve">=PROM and 16 cases with inevitable preterm </w:t>
      </w:r>
      <w:r w:rsidR="00151288" w:rsidRPr="00151288">
        <w:rPr>
          <w:rFonts w:asciiTheme="majorBidi" w:eastAsia="Times New Roman" w:hAnsiTheme="majorBidi" w:cstheme="majorBidi"/>
          <w:sz w:val="24"/>
          <w:szCs w:val="24"/>
        </w:rPr>
        <w:t>labor</w:t>
      </w:r>
      <w:r w:rsidRPr="00151288">
        <w:rPr>
          <w:rFonts w:asciiTheme="majorBidi" w:eastAsia="Times New Roman" w:hAnsiTheme="majorBidi" w:cstheme="majorBidi"/>
          <w:sz w:val="24"/>
          <w:szCs w:val="24"/>
        </w:rPr>
        <w:t>.</w:t>
      </w:r>
      <w:r w:rsidRPr="00151288">
        <w:rPr>
          <w:rFonts w:asciiTheme="majorBidi" w:eastAsia="Times New Roman" w:hAnsiTheme="majorBidi" w:cstheme="majorBidi"/>
          <w:i/>
          <w:color w:val="000000"/>
          <w:sz w:val="24"/>
          <w:szCs w:val="24"/>
        </w:rPr>
        <w:t xml:space="preserve"> </w:t>
      </w:r>
      <w:r w:rsidRPr="00151288">
        <w:rPr>
          <w:rFonts w:asciiTheme="majorBidi" w:eastAsia="Times New Roman" w:hAnsiTheme="majorBidi" w:cstheme="majorBidi"/>
          <w:color w:val="000000"/>
          <w:sz w:val="24"/>
          <w:szCs w:val="24"/>
        </w:rPr>
        <w:t xml:space="preserve">Serum recovered from peripheral blood samples by centrifugation was aliquot stored till used at -80 </w:t>
      </w:r>
      <w:r w:rsidRPr="00151288">
        <w:rPr>
          <w:rFonts w:asciiTheme="majorBidi" w:eastAsia="Times New Roman" w:hAnsiTheme="majorBidi" w:cstheme="majorBidi"/>
          <w:color w:val="000000"/>
          <w:sz w:val="24"/>
          <w:szCs w:val="24"/>
          <w:vertAlign w:val="superscript"/>
        </w:rPr>
        <w:t>o</w:t>
      </w:r>
      <w:r w:rsidRPr="00151288">
        <w:rPr>
          <w:rFonts w:asciiTheme="majorBidi" w:eastAsia="Times New Roman" w:hAnsiTheme="majorBidi" w:cstheme="majorBidi"/>
          <w:color w:val="000000"/>
          <w:sz w:val="24"/>
          <w:szCs w:val="24"/>
        </w:rPr>
        <w:t>C. Specific quantitative ELISA immunoassay kits from Sunlong Biotech Co. Ltd. were used to measure 25-OH-VitD (in ng/mL) and 1,25-DiOH-VitD (in pg/mL) (cat# SL2762Hu and SL2845Hu, Hangzhou, Zhejiang, China). The direct DiOH-VitD/OH-VitD ratio was calculated for each patient.</w:t>
      </w:r>
    </w:p>
    <w:p w:rsidR="00AC2D06" w:rsidRPr="00151288" w:rsidRDefault="00AC2D06" w:rsidP="00151288">
      <w:pPr>
        <w:spacing w:line="276" w:lineRule="auto"/>
        <w:jc w:val="both"/>
        <w:rPr>
          <w:rFonts w:asciiTheme="majorBidi" w:eastAsia="Times New Roman" w:hAnsiTheme="majorBidi" w:cstheme="majorBidi"/>
          <w:sz w:val="24"/>
          <w:szCs w:val="24"/>
        </w:rPr>
      </w:pPr>
      <w:r w:rsidRPr="00151288">
        <w:rPr>
          <w:rFonts w:asciiTheme="majorBidi" w:eastAsia="Times New Roman" w:hAnsiTheme="majorBidi" w:cstheme="majorBidi"/>
          <w:b/>
          <w:color w:val="C00000"/>
          <w:sz w:val="24"/>
          <w:szCs w:val="24"/>
          <w:u w:val="single"/>
        </w:rPr>
        <w:t>Results:</w:t>
      </w:r>
      <w:r w:rsidRPr="00151288">
        <w:rPr>
          <w:rFonts w:asciiTheme="majorBidi" w:eastAsia="Times" w:hAnsiTheme="majorBidi" w:cstheme="majorBidi"/>
          <w:color w:val="C00000"/>
          <w:sz w:val="24"/>
          <w:szCs w:val="24"/>
          <w:shd w:val="clear" w:color="auto" w:fill="FFFFFF"/>
        </w:rPr>
        <w:t xml:space="preserve"> .</w:t>
      </w:r>
      <w:r w:rsidRPr="00151288">
        <w:rPr>
          <w:rFonts w:asciiTheme="majorBidi" w:eastAsia="Times" w:hAnsiTheme="majorBidi" w:cstheme="majorBidi"/>
          <w:b/>
          <w:color w:val="222222"/>
          <w:sz w:val="24"/>
          <w:szCs w:val="24"/>
          <w:shd w:val="clear" w:color="auto" w:fill="FFFFFF"/>
        </w:rPr>
        <w:t>2</w:t>
      </w:r>
      <w:r w:rsidRPr="0081017F">
        <w:rPr>
          <w:rFonts w:asciiTheme="majorBidi" w:eastAsia="Times" w:hAnsiTheme="majorBidi" w:cstheme="majorBidi"/>
          <w:bCs/>
          <w:color w:val="222222"/>
          <w:sz w:val="24"/>
          <w:szCs w:val="24"/>
          <w:shd w:val="clear" w:color="auto" w:fill="FFFFFF"/>
        </w:rPr>
        <w:t>5 -OH -Vit D showed significant differences only between control and GDM groups while there were no significant differences among control and other groups. On the other hand,1,25-DiOH-VitD assay showed a very marked significant reductions in comparing control versus all of 6 complicated groups. Very</w:t>
      </w:r>
      <w:r w:rsidRPr="0081017F">
        <w:rPr>
          <w:rFonts w:asciiTheme="majorBidi" w:eastAsia="Times New Roman" w:hAnsiTheme="majorBidi" w:cstheme="majorBidi"/>
          <w:bCs/>
          <w:color w:val="000000"/>
          <w:sz w:val="24"/>
          <w:szCs w:val="24"/>
        </w:rPr>
        <w:t xml:space="preserve"> similar to 1,25-DiOH-VitD pattern, DiOH-VitD/OH-VitD ratio showed </w:t>
      </w:r>
      <w:r w:rsidR="00151288" w:rsidRPr="0081017F">
        <w:rPr>
          <w:rFonts w:asciiTheme="majorBidi" w:eastAsia="Times New Roman" w:hAnsiTheme="majorBidi" w:cstheme="majorBidi"/>
          <w:bCs/>
          <w:color w:val="000000"/>
          <w:sz w:val="24"/>
          <w:szCs w:val="24"/>
        </w:rPr>
        <w:t>no significant</w:t>
      </w:r>
      <w:r w:rsidRPr="0081017F">
        <w:rPr>
          <w:rFonts w:asciiTheme="majorBidi" w:eastAsia="Times New Roman" w:hAnsiTheme="majorBidi" w:cstheme="majorBidi"/>
          <w:bCs/>
          <w:color w:val="000000"/>
          <w:sz w:val="24"/>
          <w:szCs w:val="24"/>
        </w:rPr>
        <w:t xml:space="preserve"> difference among the complicated groups. However, there were very marked significant</w:t>
      </w:r>
      <w:r w:rsidRPr="00151288">
        <w:rPr>
          <w:rFonts w:asciiTheme="majorBidi" w:eastAsia="Times New Roman" w:hAnsiTheme="majorBidi" w:cstheme="majorBidi"/>
          <w:color w:val="000000"/>
          <w:sz w:val="24"/>
          <w:szCs w:val="24"/>
        </w:rPr>
        <w:t xml:space="preserve"> reductions comparing control vs. all of the 6 complicated groups</w:t>
      </w:r>
    </w:p>
    <w:p w:rsidR="00AC2D06" w:rsidRPr="00151288" w:rsidRDefault="00AC2D06" w:rsidP="00151288">
      <w:pPr>
        <w:spacing w:line="276" w:lineRule="auto"/>
        <w:jc w:val="both"/>
        <w:rPr>
          <w:rFonts w:asciiTheme="majorBidi" w:eastAsia="Times New Roman" w:hAnsiTheme="majorBidi" w:cstheme="majorBidi"/>
          <w:sz w:val="24"/>
          <w:szCs w:val="24"/>
        </w:rPr>
      </w:pPr>
      <w:r w:rsidRPr="00151288">
        <w:rPr>
          <w:rFonts w:asciiTheme="majorBidi" w:eastAsia="Times New Roman" w:hAnsiTheme="majorBidi" w:cstheme="majorBidi"/>
          <w:b/>
          <w:color w:val="C00000"/>
          <w:sz w:val="24"/>
          <w:szCs w:val="24"/>
          <w:u w:val="single"/>
        </w:rPr>
        <w:t>Conclusions:</w:t>
      </w:r>
      <w:r w:rsidRPr="00151288">
        <w:rPr>
          <w:rFonts w:asciiTheme="majorBidi" w:eastAsia="Times New Roman" w:hAnsiTheme="majorBidi" w:cstheme="majorBidi"/>
          <w:b/>
          <w:sz w:val="24"/>
          <w:szCs w:val="24"/>
        </w:rPr>
        <w:t xml:space="preserve"> </w:t>
      </w:r>
      <w:r w:rsidRPr="0081017F">
        <w:rPr>
          <w:rFonts w:asciiTheme="majorBidi" w:eastAsia="Times New Roman" w:hAnsiTheme="majorBidi" w:cstheme="majorBidi"/>
          <w:bCs/>
          <w:sz w:val="24"/>
          <w:szCs w:val="24"/>
        </w:rPr>
        <w:t>There is a strong association of vit D status and certain pregnancy complications.1,25 Di-OH-Vit D assay seems to be more reliable than 25-OH-Vit D and could be used as a suitable biomarker in assessment of vit D status in pregnancy. Vit D supplementation during pregnancy may assist in reducing related complications.</w:t>
      </w:r>
    </w:p>
    <w:p w:rsidR="00AC2D06" w:rsidRPr="00151288" w:rsidRDefault="00AC2D06" w:rsidP="00151288">
      <w:pPr>
        <w:spacing w:line="276" w:lineRule="auto"/>
        <w:jc w:val="both"/>
        <w:rPr>
          <w:rFonts w:asciiTheme="majorBidi" w:eastAsia="Times New Roman" w:hAnsiTheme="majorBidi" w:cstheme="majorBidi"/>
          <w:sz w:val="24"/>
          <w:szCs w:val="24"/>
        </w:rPr>
      </w:pPr>
      <w:r w:rsidRPr="00151288">
        <w:rPr>
          <w:rFonts w:asciiTheme="majorBidi" w:eastAsia="Times New Roman" w:hAnsiTheme="majorBidi" w:cstheme="majorBidi"/>
          <w:b/>
          <w:color w:val="C00000"/>
          <w:sz w:val="24"/>
          <w:szCs w:val="24"/>
          <w:u w:val="single"/>
        </w:rPr>
        <w:t>Key words:</w:t>
      </w:r>
      <w:r w:rsidRPr="00151288">
        <w:rPr>
          <w:rFonts w:asciiTheme="majorBidi" w:eastAsia="Times New Roman" w:hAnsiTheme="majorBidi" w:cstheme="majorBidi"/>
          <w:sz w:val="24"/>
          <w:szCs w:val="24"/>
        </w:rPr>
        <w:t xml:space="preserve"> Vitamin D, Pregnancy Outcomes, Pregnancy Complications</w:t>
      </w:r>
    </w:p>
    <w:p w:rsidR="009B4F28" w:rsidRDefault="009B4F28">
      <w:bookmarkStart w:id="0" w:name="_GoBack"/>
      <w:bookmarkEnd w:id="0"/>
    </w:p>
    <w:sectPr w:rsidR="009B4F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2DB" w:rsidRDefault="00E722DB" w:rsidP="00AC2D06">
      <w:pPr>
        <w:spacing w:after="0" w:line="240" w:lineRule="auto"/>
      </w:pPr>
      <w:r>
        <w:separator/>
      </w:r>
    </w:p>
  </w:endnote>
  <w:endnote w:type="continuationSeparator" w:id="0">
    <w:p w:rsidR="00E722DB" w:rsidRDefault="00E722DB" w:rsidP="00AC2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2DB" w:rsidRDefault="00E722DB" w:rsidP="00AC2D06">
      <w:pPr>
        <w:spacing w:after="0" w:line="240" w:lineRule="auto"/>
      </w:pPr>
      <w:r>
        <w:separator/>
      </w:r>
    </w:p>
  </w:footnote>
  <w:footnote w:type="continuationSeparator" w:id="0">
    <w:p w:rsidR="00E722DB" w:rsidRDefault="00E722DB" w:rsidP="00AC2D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45C"/>
    <w:rsid w:val="001161A1"/>
    <w:rsid w:val="00132528"/>
    <w:rsid w:val="00151288"/>
    <w:rsid w:val="001F46DA"/>
    <w:rsid w:val="00427715"/>
    <w:rsid w:val="0043245C"/>
    <w:rsid w:val="004456DA"/>
    <w:rsid w:val="0081017F"/>
    <w:rsid w:val="009B4F28"/>
    <w:rsid w:val="00A02EEA"/>
    <w:rsid w:val="00AC2D06"/>
    <w:rsid w:val="00E6118A"/>
    <w:rsid w:val="00E722DB"/>
    <w:rsid w:val="00F87B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CDFFA5-FD77-4ADA-AACA-4AA56EE59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245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C2D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D06"/>
  </w:style>
  <w:style w:type="paragraph" w:styleId="Footer">
    <w:name w:val="footer"/>
    <w:basedOn w:val="Normal"/>
    <w:link w:val="FooterChar"/>
    <w:uiPriority w:val="99"/>
    <w:unhideWhenUsed/>
    <w:rsid w:val="00AC2D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8648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393</Words>
  <Characters>2244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Abdelkhalek Ibrahim Elbahloul</dc:creator>
  <cp:keywords/>
  <dc:description/>
  <cp:lastModifiedBy>Ibrahim Abdelkhalek Ibrahim Elbahloul</cp:lastModifiedBy>
  <cp:revision>7</cp:revision>
  <dcterms:created xsi:type="dcterms:W3CDTF">2020-01-02T10:29:00Z</dcterms:created>
  <dcterms:modified xsi:type="dcterms:W3CDTF">2020-02-05T11:32:00Z</dcterms:modified>
</cp:coreProperties>
</file>