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r>
        <w:rPr>
          <w:rtl w:val="0"/>
        </w:rPr>
        <w:t>TITLE: Polycystic Ovarian Syndrome and Infertility: A Randomise Control Trial for Clomiphene Citrate stair-step protocol.</w:t>
      </w:r>
    </w:p>
    <w:p>
      <w:pPr>
        <w:pStyle w:val="Body"/>
        <w:bidi w:val="0"/>
      </w:pPr>
      <w:r>
        <w:rPr>
          <w:rtl w:val="0"/>
        </w:rPr>
        <w:t>Agrawal K, MD(OBG), PGIMER, Chandigarh, INDIA</w:t>
      </w:r>
    </w:p>
    <w:p>
      <w:pPr>
        <w:pStyle w:val="Body"/>
        <w:bidi w:val="0"/>
      </w:pPr>
    </w:p>
    <w:p>
      <w:pPr>
        <w:pStyle w:val="Body"/>
        <w:bidi w:val="0"/>
      </w:pPr>
      <w:r>
        <w:rPr>
          <w:rtl w:val="0"/>
        </w:rPr>
        <w:t>ABSTRACT</w:t>
      </w:r>
    </w:p>
    <w:p>
      <w:pPr>
        <w:pStyle w:val="Body"/>
        <w:bidi w:val="0"/>
      </w:pPr>
    </w:p>
    <w:p>
      <w:pPr>
        <w:pStyle w:val="Body"/>
        <w:bidi w:val="0"/>
      </w:pPr>
      <w:r>
        <w:rPr>
          <w:rtl w:val="0"/>
        </w:rPr>
        <w:t xml:space="preserve">Statement of the Problem: Infertility in women with Polycystic Ovarian Syndrome(PCOS) is a matter of concern in reproductive medicine. Ovulation Induction with Clomiphene Citrate(CC) is a first line </w:t>
      </w:r>
      <w:r>
        <w:rPr>
          <w:rtl w:val="0"/>
        </w:rPr>
        <w:t>treatment</w:t>
      </w:r>
      <w:r>
        <w:rPr>
          <w:rtl w:val="0"/>
        </w:rPr>
        <w:t xml:space="preserve"> given in different doses. Researchers have reported that escalating the dose of CC in the same cycle after knowing the follicle size (also called stair-step protocol) is more effective than increasing it in the subsequent cycle( also called traditional protocol). However, the literature is sparse and this study purpose is to bring light to a different and better method of using CC. Methodology and Theoretical Orientation: A Randomised Control Trial was done in women receiving CC for OI as a stair-step protocol(SSP) in the study group the dose of CC was increased gradually from 50mg to 150mg when the follicle size was insufficient to look for ovulation and later pregnanc</w:t>
      </w:r>
      <w:r>
        <mc:AlternateContent>
          <mc:Choice Requires="wps">
            <w:drawing>
              <wp:anchor distT="152400" distB="152400" distL="152400" distR="152400" simplePos="0" relativeHeight="251659264" behindDoc="0" locked="0" layoutInCell="1" allowOverlap="1">
                <wp:simplePos x="0" y="0"/>
                <wp:positionH relativeFrom="page">
                  <wp:posOffset>1005839</wp:posOffset>
                </wp:positionH>
                <wp:positionV relativeFrom="page">
                  <wp:posOffset>5105400</wp:posOffset>
                </wp:positionV>
                <wp:extent cx="5516143" cy="273050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wps:spPr>
                        <a:xfrm>
                          <a:off x="0" y="0"/>
                          <a:ext cx="5516143" cy="2730500"/>
                        </a:xfrm>
                        <a:prstGeom prst="rect">
                          <a:avLst/>
                        </a:prstGeom>
                      </wps:spPr>
                      <wps:txbx>
                        <w:txbxContent>
                          <w:tbl>
                            <w:tblPr>
                              <w:tblW w:w="9482"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4"/>
                              <w:gridCol w:w="2157"/>
                              <w:gridCol w:w="2370"/>
                              <w:gridCol w:w="2371"/>
                            </w:tblGrid>
                            <w:tr>
                              <w:tblPrEx>
                                <w:shd w:val="clear" w:color="auto" w:fill="ced7e7"/>
                              </w:tblPrEx>
                              <w:trPr>
                                <w:trHeight w:val="74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STAIR-STEP GROUP</w:t>
                                  </w:r>
                                </w:p>
                                <w:p>
                                  <w:pPr>
                                    <w:pStyle w:val="Body A"/>
                                    <w:spacing w:after="0"/>
                                    <w:jc w:val="center"/>
                                  </w:pPr>
                                  <w:r>
                                    <w:rPr>
                                      <w:rtl w:val="0"/>
                                      <w:lang w:val="en-US"/>
                                    </w:rPr>
                                    <w:t>(N=30)</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TRADITIONAL GROUP</w:t>
                                  </w:r>
                                </w:p>
                                <w:p>
                                  <w:pPr>
                                    <w:pStyle w:val="Body A"/>
                                    <w:spacing w:after="0"/>
                                    <w:jc w:val="center"/>
                                  </w:pPr>
                                  <w:r>
                                    <w:rPr>
                                      <w:rtl w:val="0"/>
                                      <w:lang w:val="en-US"/>
                                    </w:rPr>
                                    <w:t>(N=30)</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p- VALUE</w:t>
                                  </w: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OUTCOME</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right" w:pos="1886"/>
                                    </w:tabs>
                                    <w:spacing w:after="0"/>
                                    <w:jc w:val="center"/>
                                  </w:pPr>
                                  <w:r>
                                    <w:rPr>
                                      <w:rtl w:val="0"/>
                                      <w:lang w:val="en-US"/>
                                    </w:rPr>
                                    <w:t>n                       %</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n                             %</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Ovulation Rate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20                    66.7</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15                          50</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0.190</w:t>
                                  </w: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 Pregnancy Rate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8                     26.7</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5                         16.7</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0.546</w:t>
                                  </w:r>
                                </w:p>
                              </w:tc>
                            </w:tr>
                            <w:tr>
                              <w:tblPrEx>
                                <w:shd w:val="clear" w:color="auto" w:fill="ced7e7"/>
                              </w:tblPrEx>
                              <w:trPr>
                                <w:trHeight w:val="3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DURATION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Days </w:t>
                                  </w:r>
                                  <w:r>
                                    <w:rPr>
                                      <w:rtl w:val="0"/>
                                      <w:lang w:val="en-US"/>
                                    </w:rPr>
                                    <w:t xml:space="preserve">± </w:t>
                                  </w:r>
                                  <w:r>
                                    <w:rPr>
                                      <w:rtl w:val="0"/>
                                      <w:lang w:val="en-US"/>
                                    </w:rPr>
                                    <w:t>2 S.D.</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Days </w:t>
                                  </w:r>
                                  <w:r>
                                    <w:rPr>
                                      <w:rtl w:val="0"/>
                                      <w:lang w:val="en-US"/>
                                    </w:rPr>
                                    <w:t xml:space="preserve">± </w:t>
                                  </w:r>
                                  <w:r>
                                    <w:rPr>
                                      <w:rtl w:val="0"/>
                                      <w:lang w:val="en-US"/>
                                    </w:rPr>
                                    <w:t>2 S.D.</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          Success group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13.65 </w:t>
                                  </w:r>
                                  <w:r>
                                    <w:rPr>
                                      <w:rtl w:val="0"/>
                                      <w:lang w:val="en-US"/>
                                    </w:rPr>
                                    <w:t xml:space="preserve">± </w:t>
                                  </w:r>
                                  <w:r>
                                    <w:rPr>
                                      <w:rtl w:val="0"/>
                                      <w:lang w:val="en-US"/>
                                    </w:rPr>
                                    <w:t>6.784</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32.80 </w:t>
                                  </w:r>
                                  <w:r>
                                    <w:rPr>
                                      <w:rtl w:val="0"/>
                                      <w:lang w:val="en-US"/>
                                    </w:rPr>
                                    <w:t xml:space="preserve">± </w:t>
                                  </w:r>
                                  <w:r>
                                    <w:rPr>
                                      <w:rtl w:val="0"/>
                                      <w:lang w:val="en-US"/>
                                    </w:rPr>
                                    <w:t>20.446</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color w:val="ff0000"/>
                                      <w:u w:color="ff0000"/>
                                      <w:rtl w:val="0"/>
                                      <w:lang w:val="en-US"/>
                                    </w:rPr>
                                    <w:t>0.003*</w:t>
                                  </w:r>
                                </w:p>
                              </w:tc>
                            </w:tr>
                            <w:tr>
                              <w:tblPrEx>
                                <w:shd w:val="clear" w:color="auto" w:fill="ced7e7"/>
                              </w:tblPrEx>
                              <w:trPr>
                                <w:trHeight w:val="28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          Resistant group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24.40 </w:t>
                                  </w:r>
                                  <w:r>
                                    <w:rPr>
                                      <w:rtl w:val="0"/>
                                      <w:lang w:val="en-US"/>
                                    </w:rPr>
                                    <w:t>±</w:t>
                                  </w:r>
                                  <w:r>
                                    <w:rPr>
                                      <w:rtl w:val="0"/>
                                      <w:lang w:val="en-US"/>
                                    </w:rPr>
                                    <w:t>7.919</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73.20 </w:t>
                                  </w:r>
                                  <w:r>
                                    <w:rPr>
                                      <w:rtl w:val="0"/>
                                      <w:lang w:val="en-US"/>
                                    </w:rPr>
                                    <w:t xml:space="preserve">± </w:t>
                                  </w:r>
                                  <w:r>
                                    <w:rPr>
                                      <w:rtl w:val="0"/>
                                      <w:lang w:val="en-US"/>
                                    </w:rPr>
                                    <w:t>3.098</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color w:val="ff0000"/>
                                      <w:u w:color="ff0000"/>
                                      <w:rtl w:val="0"/>
                                      <w:lang w:val="en-US"/>
                                    </w:rPr>
                                    <w:t>0.001*</w:t>
                                  </w:r>
                                </w:p>
                              </w:tc>
                            </w:tr>
                          </w:tbl>
                        </w:txbxContent>
                      </wps:txbx>
                      <wps:bodyPr lIns="0" tIns="0" rIns="0" bIns="0">
                        <a:spAutoFit/>
                      </wps:bodyPr>
                    </wps:wsp>
                  </a:graphicData>
                </a:graphic>
              </wp:anchor>
            </w:drawing>
          </mc:Choice>
          <mc:Fallback>
            <w:pict>
              <v:shape id="_x0000_s1026" type="#_x0000_t202" style="visibility:visible;position:absolute;margin-left:79.2pt;margin-top:402.0pt;width:434.3pt;height:215.0pt;z-index:251659264;mso-position-horizontal:absolute;mso-position-horizontal-relative:page;mso-position-vertical:absolute;mso-position-vertical-relative:page;mso-wrap-distance-left:12.0pt;mso-wrap-distance-top:12.0pt;mso-wrap-distance-right:12.0pt;mso-wrap-distance-bottom:12.0pt;">
                <v:fill on="f"/>
                <v:stroke on="f" weight="0.8pt" dashstyle="solid" endcap="flat" joinstyle="round" linestyle="single" startarrow="none" startarrowwidth="medium" startarrowlength="medium" endarrow="none" endarrowwidth="medium" endarrowlength="medium"/>
                <v:textbox>
                  <w:txbxContent>
                    <w:tbl>
                      <w:tblPr>
                        <w:tblW w:w="9482"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4"/>
                        <w:gridCol w:w="2157"/>
                        <w:gridCol w:w="2370"/>
                        <w:gridCol w:w="2371"/>
                      </w:tblGrid>
                      <w:tr>
                        <w:tblPrEx>
                          <w:shd w:val="clear" w:color="auto" w:fill="ced7e7"/>
                        </w:tblPrEx>
                        <w:trPr>
                          <w:trHeight w:val="74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STAIR-STEP GROUP</w:t>
                            </w:r>
                          </w:p>
                          <w:p>
                            <w:pPr>
                              <w:pStyle w:val="Body A"/>
                              <w:spacing w:after="0"/>
                              <w:jc w:val="center"/>
                            </w:pPr>
                            <w:r>
                              <w:rPr>
                                <w:rtl w:val="0"/>
                                <w:lang w:val="en-US"/>
                              </w:rPr>
                              <w:t>(N=30)</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TRADITIONAL GROUP</w:t>
                            </w:r>
                          </w:p>
                          <w:p>
                            <w:pPr>
                              <w:pStyle w:val="Body A"/>
                              <w:spacing w:after="0"/>
                              <w:jc w:val="center"/>
                            </w:pPr>
                            <w:r>
                              <w:rPr>
                                <w:rtl w:val="0"/>
                                <w:lang w:val="en-US"/>
                              </w:rPr>
                              <w:t>(N=30)</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p- VALUE</w:t>
                            </w: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OUTCOME</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right" w:pos="1886"/>
                              </w:tabs>
                              <w:spacing w:after="0"/>
                              <w:jc w:val="center"/>
                            </w:pPr>
                            <w:r>
                              <w:rPr>
                                <w:rtl w:val="0"/>
                                <w:lang w:val="en-US"/>
                              </w:rPr>
                              <w:t>n                       %</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n                             %</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Ovulation Rate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20                    66.7</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15                          50</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0.190</w:t>
                            </w:r>
                          </w:p>
                        </w:tc>
                      </w:tr>
                      <w:tr>
                        <w:tblPrEx>
                          <w:shd w:val="clear" w:color="auto" w:fill="ced7e7"/>
                        </w:tblPrEx>
                        <w:trPr>
                          <w:trHeight w:val="5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 Pregnancy Rate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8                     26.7</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5                         16.7</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0.546</w:t>
                            </w:r>
                          </w:p>
                        </w:tc>
                      </w:tr>
                      <w:tr>
                        <w:tblPrEx>
                          <w:shd w:val="clear" w:color="auto" w:fill="ced7e7"/>
                        </w:tblPrEx>
                        <w:trPr>
                          <w:trHeight w:val="32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DURATION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Days </w:t>
                            </w:r>
                            <w:r>
                              <w:rPr>
                                <w:rtl w:val="0"/>
                                <w:lang w:val="en-US"/>
                              </w:rPr>
                              <w:t xml:space="preserve">± </w:t>
                            </w:r>
                            <w:r>
                              <w:rPr>
                                <w:rtl w:val="0"/>
                                <w:lang w:val="en-US"/>
                              </w:rPr>
                              <w:t>2 S.D.</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Days </w:t>
                            </w:r>
                            <w:r>
                              <w:rPr>
                                <w:rtl w:val="0"/>
                                <w:lang w:val="en-US"/>
                              </w:rPr>
                              <w:t xml:space="preserve">± </w:t>
                            </w:r>
                            <w:r>
                              <w:rPr>
                                <w:rtl w:val="0"/>
                                <w:lang w:val="en-US"/>
                              </w:rPr>
                              <w:t>2 S.D.</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8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          Success group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13.65 </w:t>
                            </w:r>
                            <w:r>
                              <w:rPr>
                                <w:rtl w:val="0"/>
                                <w:lang w:val="en-US"/>
                              </w:rPr>
                              <w:t xml:space="preserve">± </w:t>
                            </w:r>
                            <w:r>
                              <w:rPr>
                                <w:rtl w:val="0"/>
                                <w:lang w:val="en-US"/>
                              </w:rPr>
                              <w:t>6.784</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32.80 </w:t>
                            </w:r>
                            <w:r>
                              <w:rPr>
                                <w:rtl w:val="0"/>
                                <w:lang w:val="en-US"/>
                              </w:rPr>
                              <w:t xml:space="preserve">± </w:t>
                            </w:r>
                            <w:r>
                              <w:rPr>
                                <w:rtl w:val="0"/>
                                <w:lang w:val="en-US"/>
                              </w:rPr>
                              <w:t>20.446</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color w:val="ff0000"/>
                                <w:u w:color="ff0000"/>
                                <w:rtl w:val="0"/>
                                <w:lang w:val="en-US"/>
                              </w:rPr>
                              <w:t>0.003*</w:t>
                            </w:r>
                          </w:p>
                        </w:tc>
                      </w:tr>
                      <w:tr>
                        <w:tblPrEx>
                          <w:shd w:val="clear" w:color="auto" w:fill="ced7e7"/>
                        </w:tblPrEx>
                        <w:trPr>
                          <w:trHeight w:val="280"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pPr>
                            <w:r>
                              <w:rPr>
                                <w:rtl w:val="0"/>
                                <w:lang w:val="en-US"/>
                              </w:rPr>
                              <w:t xml:space="preserve">          Resistant group </w:t>
                            </w:r>
                          </w:p>
                        </w:tc>
                        <w:tc>
                          <w:tcPr>
                            <w:tcW w:type="dxa" w:w="2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24.40 </w:t>
                            </w:r>
                            <w:r>
                              <w:rPr>
                                <w:rtl w:val="0"/>
                                <w:lang w:val="en-US"/>
                              </w:rPr>
                              <w:t>±</w:t>
                            </w:r>
                            <w:r>
                              <w:rPr>
                                <w:rtl w:val="0"/>
                                <w:lang w:val="en-US"/>
                              </w:rPr>
                              <w:t>7.919</w:t>
                            </w:r>
                          </w:p>
                        </w:tc>
                        <w:tc>
                          <w:tcPr>
                            <w:tcW w:type="dxa" w:w="23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rtl w:val="0"/>
                                <w:lang w:val="en-US"/>
                              </w:rPr>
                              <w:t xml:space="preserve">73.20 </w:t>
                            </w:r>
                            <w:r>
                              <w:rPr>
                                <w:rtl w:val="0"/>
                                <w:lang w:val="en-US"/>
                              </w:rPr>
                              <w:t xml:space="preserve">± </w:t>
                            </w:r>
                            <w:r>
                              <w:rPr>
                                <w:rtl w:val="0"/>
                                <w:lang w:val="en-US"/>
                              </w:rPr>
                              <w:t>3.098</w:t>
                            </w:r>
                          </w:p>
                        </w:tc>
                        <w:tc>
                          <w:tcPr>
                            <w:tcW w:type="dxa" w:w="23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jc w:val="center"/>
                            </w:pPr>
                            <w:r>
                              <w:rPr>
                                <w:color w:val="ff0000"/>
                                <w:u w:color="ff0000"/>
                                <w:rtl w:val="0"/>
                                <w:lang w:val="en-US"/>
                              </w:rPr>
                              <w:t>0.001*</w:t>
                            </w:r>
                          </w:p>
                        </w:tc>
                      </w:tr>
                    </w:tbl>
                  </w:txbxContent>
                </v:textbox>
                <w10:wrap type="topAndBottom" side="bothSides" anchorx="page" anchory="page"/>
              </v:shape>
            </w:pict>
          </mc:Fallback>
        </mc:AlternateContent>
      </w:r>
      <w:r>
        <w:rPr>
          <w:rtl w:val="0"/>
        </w:rPr>
        <w:t xml:space="preserve">y. The study group was compared to control group where the dose was increased in next cycle after every failure of the previous dose. Findings: The women in study group using SSP has higher ovulation rate and pregnancy rate. The duration of treatment was significantly shorter in study group. The dose of 100mg was the most effective dose for OI in either group. Conclusion &amp; Significance: By using SSP, effective treatment is provided in significantly shorter time period in without any detrimental effect on ovulation and pregnancy rates Women with PCOS and Infertility are benefitted using SSP. </w:t>
      </w:r>
    </w:p>
    <w:p>
      <w:pPr>
        <w:pStyle w:val="Body"/>
        <w:bidi w:val="0"/>
      </w:pPr>
    </w:p>
    <w:p>
      <w:pPr>
        <w:pStyle w:val="Body"/>
        <w:bidi w:val="0"/>
      </w:pPr>
      <w:r>
        <w:rPr>
          <w:rtl w:val="0"/>
        </w:rPr>
        <w:t>Table:</w:t>
      </w:r>
    </w:p>
    <w:p>
      <w:pPr>
        <w:pStyle w:val="Body"/>
        <w:bidi w:val="0"/>
      </w:pPr>
    </w:p>
    <w:p>
      <w:pPr>
        <w:pStyle w:val="Body"/>
        <w:bidi w:val="0"/>
      </w:pPr>
    </w:p>
    <w:p>
      <w:pPr>
        <w:pStyle w:val="Body"/>
        <w:bidi w:val="0"/>
      </w:pPr>
      <w:r>
        <w:rPr>
          <w:rtl w:val="0"/>
        </w:rPr>
        <w:t>References:</w:t>
      </w:r>
    </w:p>
    <w:p>
      <w:pPr>
        <w:pStyle w:val="Body"/>
        <w:bidi w:val="0"/>
      </w:pPr>
    </w:p>
    <w:p>
      <w:pPr>
        <w:pStyle w:val="List Paragraph"/>
        <w:numPr>
          <w:ilvl w:val="0"/>
          <w:numId w:val="2"/>
        </w:numPr>
        <w:spacing w:after="0" w:line="360" w:lineRule="auto"/>
        <w:rPr>
          <w:lang w:val="en-US"/>
        </w:rPr>
      </w:pPr>
      <w:r>
        <w:rPr>
          <w:color w:val="000000"/>
          <w:u w:color="000000"/>
          <w:rtl w:val="0"/>
          <w:lang w:val="en-US"/>
        </w:rPr>
        <w:t xml:space="preserve">Hurst BS, Hickman JM, Matthews ML, Usadi RS, Marshburn PB. Novel Clomiphene </w:t>
      </w:r>
      <w:r>
        <w:rPr>
          <w:color w:val="000000"/>
          <w:u w:color="000000"/>
          <w:rtl w:val="0"/>
          <w:lang w:val="en-US"/>
        </w:rPr>
        <w:t>‘‘</w:t>
      </w:r>
      <w:r>
        <w:rPr>
          <w:color w:val="000000"/>
          <w:u w:color="000000"/>
          <w:rtl w:val="0"/>
          <w:lang w:val="en-US"/>
        </w:rPr>
        <w:t>stair-step</w:t>
      </w:r>
      <w:r>
        <w:rPr>
          <w:color w:val="000000"/>
          <w:u w:color="000000"/>
          <w:rtl w:val="0"/>
          <w:lang w:val="en-US"/>
        </w:rPr>
        <w:t xml:space="preserve">’’ </w:t>
      </w:r>
      <w:r>
        <w:rPr>
          <w:color w:val="000000"/>
          <w:u w:color="000000"/>
          <w:rtl w:val="0"/>
          <w:lang w:val="en-US"/>
        </w:rPr>
        <w:t>protocol reduces time to ovulation in women with polycystic ovarian syndrome. Am J Obstet Gynecol 2009; 200 (5): 510. e1</w:t>
      </w:r>
      <w:r>
        <w:rPr>
          <w:color w:val="000000"/>
          <w:u w:color="000000"/>
          <w:rtl w:val="0"/>
          <w:lang w:val="en-US"/>
        </w:rPr>
        <w:t>–</w:t>
      </w:r>
      <w:r>
        <w:rPr>
          <w:color w:val="000000"/>
          <w:u w:color="000000"/>
          <w:rtl w:val="0"/>
          <w:lang w:val="en-US"/>
        </w:rPr>
        <w:t>4</w:t>
      </w:r>
    </w:p>
    <w:p>
      <w:pPr>
        <w:pStyle w:val="List Paragraph"/>
        <w:numPr>
          <w:ilvl w:val="0"/>
          <w:numId w:val="3"/>
        </w:numPr>
        <w:spacing w:after="0" w:line="360" w:lineRule="auto"/>
        <w:rPr>
          <w:color w:val="000000"/>
          <w:u w:color="000000"/>
          <w:lang w:val="en-US"/>
        </w:rPr>
      </w:pPr>
      <w:r>
        <w:rPr>
          <w:color w:val="000000"/>
          <w:u w:color="000000"/>
          <w:rtl w:val="0"/>
          <w:lang w:val="en-US"/>
        </w:rPr>
        <w:t xml:space="preserve">Deveci CD, Demir B,Sengul O, Dibaz B, Goktolga U. Clomiphene citrate </w:t>
      </w:r>
      <w:r>
        <w:rPr>
          <w:color w:val="000000"/>
          <w:u w:color="000000"/>
          <w:rtl w:val="0"/>
          <w:lang w:val="en-US"/>
        </w:rPr>
        <w:t>‘</w:t>
      </w:r>
      <w:r>
        <w:rPr>
          <w:color w:val="000000"/>
          <w:u w:color="000000"/>
          <w:rtl w:val="0"/>
          <w:lang w:val="en-US"/>
        </w:rPr>
        <w:t>stair-step</w:t>
      </w:r>
      <w:r>
        <w:rPr>
          <w:color w:val="000000"/>
          <w:u w:color="000000"/>
          <w:rtl w:val="0"/>
          <w:lang w:val="en-US"/>
        </w:rPr>
        <w:t xml:space="preserve">’ </w:t>
      </w:r>
      <w:r>
        <w:rPr>
          <w:color w:val="000000"/>
          <w:u w:color="000000"/>
          <w:rtl w:val="0"/>
          <w:lang w:val="en-US"/>
        </w:rPr>
        <w:t>protocol vs. traditional protocol in patients with polycystic ovary syndrome: a randomized controlled trial. Arch Gynecol Obstet (2015) 291:179</w:t>
      </w:r>
      <w:r>
        <w:rPr>
          <w:color w:val="000000"/>
          <w:u w:color="000000"/>
          <w:rtl w:val="0"/>
          <w:lang w:val="en-US"/>
        </w:rPr>
        <w:t>–</w:t>
      </w:r>
      <w:r>
        <w:rPr>
          <w:color w:val="000000"/>
          <w:u w:color="000000"/>
          <w:rtl w:val="0"/>
          <w:lang w:val="en-US"/>
        </w:rPr>
        <w:t>184.</w:t>
      </w:r>
    </w:p>
    <w:p>
      <w:pPr>
        <w:pStyle w:val="List Paragraph"/>
        <w:numPr>
          <w:ilvl w:val="0"/>
          <w:numId w:val="2"/>
        </w:numPr>
        <w:spacing w:after="0" w:line="360" w:lineRule="auto"/>
        <w:rPr>
          <w:color w:val="000000"/>
          <w:u w:color="000000"/>
        </w:rPr>
      </w:pPr>
      <w:r>
        <w:rPr>
          <w:color w:val="000000"/>
          <w:u w:color="000000"/>
          <w:rtl w:val="0"/>
          <w:lang w:val="en-US"/>
        </w:rPr>
        <w:t>The Thessaloniki ESHRE/ASRM sponsored PCOS Consensus Workshop Group. Consensus on infertility treatment related to polycystic ovary syndrome. Fertil Steril 2008; 89:505-22.</w:t>
      </w:r>
    </w:p>
    <w:p>
      <w:pPr>
        <w:pStyle w:val="List Paragraph"/>
        <w:numPr>
          <w:ilvl w:val="0"/>
          <w:numId w:val="2"/>
        </w:numPr>
        <w:spacing w:after="0" w:line="360" w:lineRule="auto"/>
        <w:rPr>
          <w:color w:val="000000"/>
          <w:u w:color="000000"/>
          <w:lang w:val="en-US"/>
        </w:rPr>
      </w:pPr>
      <w:r>
        <w:rPr>
          <w:color w:val="000000"/>
          <w:u w:color="000000"/>
          <w:rtl w:val="0"/>
          <w:lang w:val="en-US"/>
        </w:rPr>
        <w:t>Nakai A, Yokota A, Koshino T, Araki T (2002) Assessment of endometrial perfusion with Doppler ultrasound in spontaneous and stimulated menstrual cycles. J Nippon Med Sch 69(4):328</w:t>
      </w:r>
      <w:r>
        <w:rPr>
          <w:color w:val="000000"/>
          <w:u w:color="000000"/>
          <w:rtl w:val="0"/>
          <w:lang w:val="en-US"/>
        </w:rPr>
        <w:t>–</w:t>
      </w:r>
      <w:r>
        <w:rPr>
          <w:color w:val="000000"/>
          <w:u w:color="000000"/>
          <w:rtl w:val="0"/>
          <w:lang w:val="en-US"/>
        </w:rPr>
        <w:t>332</w:t>
      </w:r>
    </w:p>
    <w:p>
      <w:pPr>
        <w:pStyle w:val="List Paragraph"/>
        <w:numPr>
          <w:ilvl w:val="0"/>
          <w:numId w:val="3"/>
        </w:numPr>
        <w:spacing w:after="0" w:line="360" w:lineRule="auto"/>
        <w:rPr>
          <w:color w:val="000000"/>
          <w:u w:color="000000"/>
          <w:lang w:val="en-US"/>
        </w:rPr>
      </w:pPr>
      <w:r>
        <w:rPr>
          <w:color w:val="000000"/>
          <w:u w:color="000000"/>
          <w:rtl w:val="0"/>
          <w:lang w:val="en-US"/>
        </w:rPr>
        <w:t>Homburg R. Clomiphene citrate</w:t>
      </w:r>
      <w:r>
        <w:rPr>
          <w:color w:val="000000"/>
          <w:u w:color="000000"/>
          <w:rtl w:val="0"/>
          <w:lang w:val="en-US"/>
        </w:rPr>
        <w:t>—</w:t>
      </w:r>
      <w:r>
        <w:rPr>
          <w:color w:val="000000"/>
          <w:u w:color="000000"/>
          <w:rtl w:val="0"/>
          <w:lang w:val="en-US"/>
        </w:rPr>
        <w:t>end of an era? A mini-review. Hum Reprod 2005;20:2043</w:t>
      </w:r>
      <w:r>
        <w:rPr>
          <w:color w:val="000000"/>
          <w:u w:color="000000"/>
          <w:rtl w:val="0"/>
          <w:lang w:val="en-US"/>
        </w:rPr>
        <w:t>–</w:t>
      </w:r>
      <w:r>
        <w:rPr>
          <w:color w:val="000000"/>
          <w:u w:color="000000"/>
          <w:rtl w:val="0"/>
          <w:lang w:val="en-US"/>
        </w:rPr>
        <w:t>51.</w:t>
      </w:r>
    </w:p>
    <w:p>
      <w:pPr>
        <w:pStyle w:val="List Paragraph"/>
        <w:numPr>
          <w:ilvl w:val="0"/>
          <w:numId w:val="3"/>
        </w:numPr>
        <w:spacing w:after="0" w:line="360" w:lineRule="auto"/>
        <w:rPr>
          <w:lang w:val="en-US"/>
        </w:rPr>
      </w:pPr>
      <w:r>
        <w:rPr>
          <w:color w:val="000000"/>
          <w:u w:color="000000"/>
          <w:rtl w:val="0"/>
          <w:lang w:val="en-US"/>
        </w:rPr>
        <w:t xml:space="preserve">Hollinrake E, Abreu A, Maifeld M, Van Voorhis BJ, Dokras A. Increased risk of depressive disorders in women with polycystic ovary syndrome. </w:t>
      </w:r>
      <w:r>
        <w:rPr>
          <w:i w:val="1"/>
          <w:iCs w:val="1"/>
          <w:color w:val="000000"/>
          <w:u w:color="000000"/>
          <w:rtl w:val="0"/>
          <w:lang w:val="en-US"/>
        </w:rPr>
        <w:t>Fertil Steril</w:t>
      </w:r>
      <w:r>
        <w:rPr>
          <w:color w:val="000000"/>
          <w:u w:color="000000"/>
          <w:rtl w:val="0"/>
          <w:lang w:val="en-US"/>
        </w:rPr>
        <w:t>. 2007;87:1369</w:t>
      </w:r>
      <w:r>
        <w:rPr>
          <w:color w:val="000000"/>
          <w:u w:color="000000"/>
          <w:rtl w:val="0"/>
          <w:lang w:val="en-US"/>
        </w:rPr>
        <w:t>–</w:t>
      </w:r>
      <w:r>
        <w:rPr>
          <w:color w:val="000000"/>
          <w:u w:color="000000"/>
          <w:rtl w:val="0"/>
          <w:lang w:val="en-US"/>
        </w:rPr>
        <w:t>1376.</w:t>
      </w:r>
    </w:p>
    <w:p>
      <w:pPr>
        <w:pStyle w:val="List Paragraph"/>
        <w:numPr>
          <w:ilvl w:val="0"/>
          <w:numId w:val="3"/>
        </w:numPr>
        <w:spacing w:after="0" w:line="360" w:lineRule="auto"/>
        <w:rPr>
          <w:color w:val="000000"/>
          <w:u w:color="000000"/>
          <w:lang w:val="en-US"/>
        </w:rPr>
      </w:pPr>
      <w:r>
        <w:rPr>
          <w:color w:val="000000"/>
          <w:u w:color="000000"/>
          <w:rtl w:val="0"/>
          <w:lang w:val="en-US"/>
        </w:rPr>
        <w:t xml:space="preserve">Dokras A, Clifton S, Futterweit W, Wild R. Increased prevalence of anxiety symptoms in women with polycystic ovary syndrome: systematic review and meta-analysis. </w:t>
      </w:r>
      <w:r>
        <w:rPr>
          <w:i w:val="1"/>
          <w:iCs w:val="1"/>
          <w:color w:val="000000"/>
          <w:u w:color="000000"/>
          <w:rtl w:val="0"/>
          <w:lang w:val="en-US"/>
        </w:rPr>
        <w:t>Fertil Steril</w:t>
      </w:r>
      <w:r>
        <w:rPr>
          <w:color w:val="000000"/>
          <w:u w:color="000000"/>
          <w:rtl w:val="0"/>
          <w:lang w:val="en-US"/>
        </w:rPr>
        <w:t>. 2012;97(1):225</w:t>
      </w:r>
      <w:r>
        <w:rPr>
          <w:color w:val="000000"/>
          <w:u w:color="000000"/>
          <w:rtl w:val="0"/>
          <w:lang w:val="en-US"/>
        </w:rPr>
        <w:t>–</w:t>
      </w:r>
      <w:r>
        <w:rPr>
          <w:color w:val="000000"/>
          <w:u w:color="000000"/>
          <w:rtl w:val="0"/>
          <w:lang w:val="en-US"/>
        </w:rPr>
        <w:t>230.</w:t>
      </w: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r>
        <w:rPr>
          <w:color w:val="000000"/>
          <w:u w:color="000000"/>
          <w:rtl w:val="0"/>
          <w:lang w:val="en-US"/>
        </w:rPr>
        <w:t>Bibliography</w:t>
      </w:r>
      <w:r>
        <w:rPr>
          <w:color w:val="000000"/>
          <w:u w:color="000000"/>
        </w:rPr>
        <w:drawing>
          <wp:anchor distT="152400" distB="152400" distL="152400" distR="152400" simplePos="0" relativeHeight="251660288" behindDoc="0" locked="0" layoutInCell="1" allowOverlap="1">
            <wp:simplePos x="0" y="0"/>
            <wp:positionH relativeFrom="margin">
              <wp:posOffset>83909</wp:posOffset>
            </wp:positionH>
            <wp:positionV relativeFrom="line">
              <wp:posOffset>211036</wp:posOffset>
            </wp:positionV>
            <wp:extent cx="934898" cy="1185947"/>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20160528_211913.jpg"/>
                    <pic:cNvPicPr>
                      <a:picLocks noChangeAspect="1"/>
                    </pic:cNvPicPr>
                  </pic:nvPicPr>
                  <pic:blipFill>
                    <a:blip r:embed="rId4">
                      <a:extLst/>
                    </a:blip>
                    <a:stretch>
                      <a:fillRect/>
                    </a:stretch>
                  </pic:blipFill>
                  <pic:spPr>
                    <a:xfrm>
                      <a:off x="0" y="0"/>
                      <a:ext cx="934898" cy="1185947"/>
                    </a:xfrm>
                    <a:prstGeom prst="rect">
                      <a:avLst/>
                    </a:prstGeom>
                    <a:ln w="12700" cap="flat">
                      <a:noFill/>
                      <a:miter lim="400000"/>
                    </a:ln>
                    <a:effectLst/>
                  </pic:spPr>
                </pic:pic>
              </a:graphicData>
            </a:graphic>
          </wp:anchor>
        </w:drawing>
      </w: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p>
    <w:p>
      <w:pPr>
        <w:pStyle w:val="List Paragraph"/>
        <w:spacing w:after="0" w:line="360" w:lineRule="auto"/>
        <w:ind w:left="0" w:firstLine="0"/>
        <w:rPr>
          <w:color w:val="000000"/>
          <w:u w:color="000000"/>
        </w:rPr>
      </w:pPr>
      <w:r>
        <w:rPr>
          <w:color w:val="000000"/>
          <w:u w:color="000000"/>
          <w:rtl w:val="0"/>
          <w:lang w:val="en-US"/>
        </w:rPr>
        <w:t xml:space="preserve">I have done my postgraduate in PostGraduate Institute of Medical Education and Research (PGIMER), India. During my thesis course, I conducted this study after seeing the tedious course of therapy the patient had to go in the institute infertility clinic. With dedication and a hope of having some significant results with reference from the literature i performed this study. Currently, I am working in private hospital practicing Obstetrics and Gynecology. </w:t>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708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08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080"/>
        </w:tabs>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8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08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080"/>
        </w:tabs>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08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08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080"/>
        </w:tabs>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