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ED30D" w14:textId="6C922315" w:rsidR="00AE3E37" w:rsidRPr="002E17F8" w:rsidRDefault="00AE793B" w:rsidP="00494130">
      <w:pPr>
        <w:pStyle w:val="Heading1"/>
        <w:spacing w:before="170"/>
        <w:ind w:left="0"/>
        <w:rPr>
          <w:sz w:val="32"/>
          <w:szCs w:val="32"/>
        </w:rPr>
      </w:pPr>
      <w:r w:rsidRPr="002E17F8">
        <w:rPr>
          <w:color w:val="337AB7"/>
          <w:sz w:val="32"/>
          <w:szCs w:val="32"/>
        </w:rPr>
        <w:t xml:space="preserve">Title: </w:t>
      </w:r>
      <w:r w:rsidR="00110E9A" w:rsidRPr="00110E9A">
        <w:rPr>
          <w:color w:val="337AB7"/>
          <w:sz w:val="32"/>
          <w:szCs w:val="32"/>
        </w:rPr>
        <w:t>Developing Medication Management in an Emergency Department: A Participatory Action Research</w:t>
      </w:r>
    </w:p>
    <w:p w14:paraId="1CD374C3" w14:textId="4E233484" w:rsidR="005973B9" w:rsidRDefault="009E33DD" w:rsidP="00AE793B">
      <w:pPr>
        <w:pStyle w:val="BodyText"/>
        <w:spacing w:before="73" w:line="198" w:lineRule="exact"/>
        <w:ind w:right="2468"/>
        <w:rPr>
          <w:rFonts w:ascii="Arial"/>
        </w:rPr>
      </w:pPr>
      <w:r>
        <w:rPr>
          <w:rFonts w:ascii="Arial"/>
        </w:rPr>
        <w:t>Professor Rebecca Mitchell</w:t>
      </w:r>
      <w:r w:rsidR="00133E22">
        <w:rPr>
          <w:rFonts w:ascii="Arial"/>
          <w:vertAlign w:val="superscript"/>
        </w:rPr>
        <w:t>1</w:t>
      </w:r>
      <w:r>
        <w:rPr>
          <w:rFonts w:ascii="Arial"/>
        </w:rPr>
        <w:t xml:space="preserve">, </w:t>
      </w:r>
      <w:r w:rsidR="00E635BB">
        <w:rPr>
          <w:rFonts w:ascii="Arial"/>
        </w:rPr>
        <w:t xml:space="preserve">Professor </w:t>
      </w:r>
      <w:r w:rsidR="00E635BB" w:rsidRPr="00E635BB">
        <w:rPr>
          <w:rFonts w:ascii="Arial"/>
        </w:rPr>
        <w:t>Alireza Nikbakht Nasrabadi</w:t>
      </w:r>
      <w:r w:rsidR="00133E22">
        <w:rPr>
          <w:rFonts w:ascii="Arial"/>
          <w:vertAlign w:val="superscript"/>
        </w:rPr>
        <w:t>2</w:t>
      </w:r>
      <w:r>
        <w:rPr>
          <w:rFonts w:ascii="Arial"/>
        </w:rPr>
        <w:t xml:space="preserve">, </w:t>
      </w:r>
      <w:r w:rsidR="00E635BB">
        <w:rPr>
          <w:rFonts w:ascii="Arial"/>
        </w:rPr>
        <w:t xml:space="preserve">Mrs. </w:t>
      </w:r>
      <w:r>
        <w:rPr>
          <w:rFonts w:ascii="Arial"/>
        </w:rPr>
        <w:t>Fatemeh Bakhshi</w:t>
      </w:r>
      <w:r w:rsidR="00133E22">
        <w:rPr>
          <w:rFonts w:ascii="Arial"/>
          <w:vertAlign w:val="superscript"/>
        </w:rPr>
        <w:t>3*</w:t>
      </w:r>
    </w:p>
    <w:p w14:paraId="1C5E0F43" w14:textId="6D25BBEF" w:rsidR="00133E22" w:rsidRPr="00454FC7" w:rsidRDefault="00133E22" w:rsidP="00454FC7">
      <w:pPr>
        <w:pStyle w:val="BodyText"/>
        <w:ind w:right="2468"/>
        <w:rPr>
          <w:rFonts w:asciiTheme="minorHAnsi" w:hAnsiTheme="minorHAnsi" w:cstheme="minorHAnsi"/>
          <w:sz w:val="14"/>
          <w:szCs w:val="14"/>
        </w:rPr>
      </w:pPr>
      <w:r w:rsidRPr="00454FC7">
        <w:rPr>
          <w:rFonts w:asciiTheme="minorHAnsi" w:hAnsiTheme="minorHAnsi" w:cstheme="minorHAnsi"/>
          <w:sz w:val="14"/>
          <w:szCs w:val="14"/>
          <w:vertAlign w:val="superscript"/>
        </w:rPr>
        <w:t>1</w:t>
      </w:r>
      <w:r w:rsidRPr="00454FC7">
        <w:rPr>
          <w:rFonts w:asciiTheme="minorHAnsi" w:hAnsiTheme="minorHAnsi" w:cstheme="minorHAnsi"/>
        </w:rPr>
        <w:t xml:space="preserve"> </w:t>
      </w:r>
      <w:bookmarkStart w:id="0" w:name="_Hlk31904009"/>
      <w:r w:rsidR="008C2D90" w:rsidRPr="00454FC7">
        <w:rPr>
          <w:rFonts w:asciiTheme="minorHAnsi" w:hAnsiTheme="minorHAnsi" w:cstheme="minorHAnsi"/>
          <w:sz w:val="14"/>
          <w:szCs w:val="14"/>
        </w:rPr>
        <w:t>Faculty of Business and Economics,</w:t>
      </w:r>
      <w:r w:rsidR="00454FC7" w:rsidRPr="00454FC7">
        <w:rPr>
          <w:rFonts w:asciiTheme="minorHAnsi" w:hAnsiTheme="minorHAnsi" w:cstheme="minorHAnsi"/>
          <w:sz w:val="14"/>
          <w:szCs w:val="14"/>
        </w:rPr>
        <w:t xml:space="preserve"> </w:t>
      </w:r>
      <w:r w:rsidR="008C2D90" w:rsidRPr="00454FC7">
        <w:rPr>
          <w:rFonts w:asciiTheme="minorHAnsi" w:hAnsiTheme="minorHAnsi" w:cstheme="minorHAnsi"/>
          <w:sz w:val="14"/>
          <w:szCs w:val="14"/>
        </w:rPr>
        <w:t>Department of Management, Macquarie</w:t>
      </w:r>
      <w:r w:rsidR="00454FC7" w:rsidRPr="00454FC7">
        <w:rPr>
          <w:rFonts w:asciiTheme="minorHAnsi" w:hAnsiTheme="minorHAnsi" w:cstheme="minorHAnsi"/>
          <w:sz w:val="14"/>
          <w:szCs w:val="14"/>
        </w:rPr>
        <w:t xml:space="preserve"> </w:t>
      </w:r>
      <w:r w:rsidR="008C2D90" w:rsidRPr="00454FC7">
        <w:rPr>
          <w:rFonts w:asciiTheme="minorHAnsi" w:hAnsiTheme="minorHAnsi" w:cstheme="minorHAnsi"/>
          <w:sz w:val="14"/>
          <w:szCs w:val="14"/>
        </w:rPr>
        <w:t>University, Sydney, New South</w:t>
      </w:r>
      <w:r w:rsidR="00454FC7" w:rsidRPr="00454FC7">
        <w:rPr>
          <w:rFonts w:asciiTheme="minorHAnsi" w:hAnsiTheme="minorHAnsi" w:cstheme="minorHAnsi"/>
          <w:sz w:val="14"/>
          <w:szCs w:val="14"/>
        </w:rPr>
        <w:t xml:space="preserve"> </w:t>
      </w:r>
      <w:r w:rsidR="008C2D90" w:rsidRPr="00454FC7">
        <w:rPr>
          <w:rFonts w:asciiTheme="minorHAnsi" w:hAnsiTheme="minorHAnsi" w:cstheme="minorHAnsi"/>
          <w:sz w:val="14"/>
          <w:szCs w:val="14"/>
        </w:rPr>
        <w:t>Wales,</w:t>
      </w:r>
      <w:r w:rsidR="00454FC7" w:rsidRPr="00454FC7">
        <w:rPr>
          <w:rFonts w:asciiTheme="minorHAnsi" w:hAnsiTheme="minorHAnsi" w:cstheme="minorHAnsi"/>
          <w:sz w:val="14"/>
          <w:szCs w:val="14"/>
        </w:rPr>
        <w:t xml:space="preserve"> </w:t>
      </w:r>
      <w:r w:rsidR="008C2D90" w:rsidRPr="00454FC7">
        <w:rPr>
          <w:rFonts w:asciiTheme="minorHAnsi" w:hAnsiTheme="minorHAnsi" w:cstheme="minorHAnsi"/>
          <w:sz w:val="14"/>
          <w:szCs w:val="14"/>
        </w:rPr>
        <w:t>Australia</w:t>
      </w:r>
      <w:r w:rsidR="00454FC7" w:rsidRPr="00454FC7">
        <w:rPr>
          <w:rFonts w:asciiTheme="minorHAnsi" w:hAnsiTheme="minorHAnsi" w:cstheme="minorHAnsi"/>
          <w:sz w:val="14"/>
          <w:szCs w:val="14"/>
        </w:rPr>
        <w:t>.</w:t>
      </w:r>
    </w:p>
    <w:bookmarkEnd w:id="0"/>
    <w:p w14:paraId="14B451E3" w14:textId="2DFC2E47" w:rsidR="00133E22" w:rsidRPr="00454FC7" w:rsidRDefault="00133E22" w:rsidP="002811B7">
      <w:pPr>
        <w:pStyle w:val="BodyText"/>
        <w:ind w:right="2468"/>
        <w:rPr>
          <w:rFonts w:asciiTheme="minorHAnsi" w:hAnsiTheme="minorHAnsi" w:cstheme="minorHAnsi"/>
          <w:sz w:val="14"/>
          <w:szCs w:val="14"/>
        </w:rPr>
      </w:pPr>
      <w:r w:rsidRPr="00454FC7">
        <w:rPr>
          <w:rFonts w:asciiTheme="minorHAnsi" w:hAnsiTheme="minorHAnsi" w:cstheme="minorHAnsi"/>
          <w:sz w:val="14"/>
          <w:szCs w:val="14"/>
          <w:vertAlign w:val="superscript"/>
        </w:rPr>
        <w:t>2</w:t>
      </w:r>
      <w:r w:rsidRPr="00454FC7">
        <w:rPr>
          <w:rFonts w:asciiTheme="minorHAnsi" w:hAnsiTheme="minorHAnsi" w:cstheme="minorHAnsi"/>
          <w:sz w:val="14"/>
          <w:szCs w:val="14"/>
        </w:rPr>
        <w:t xml:space="preserve"> </w:t>
      </w:r>
      <w:r w:rsidR="00E635BB" w:rsidRPr="00454FC7">
        <w:rPr>
          <w:rFonts w:asciiTheme="minorHAnsi" w:hAnsiTheme="minorHAnsi" w:cstheme="minorHAnsi"/>
          <w:sz w:val="14"/>
          <w:szCs w:val="14"/>
        </w:rPr>
        <w:t>School of Nursing and Midwifery, Tehran University of Medical Sciences, Tehran, Iran.</w:t>
      </w:r>
    </w:p>
    <w:p w14:paraId="21312002" w14:textId="4718C66F" w:rsidR="00133E22" w:rsidRPr="00454FC7" w:rsidRDefault="00133E22" w:rsidP="002811B7">
      <w:pPr>
        <w:pStyle w:val="BodyText"/>
        <w:ind w:right="2468"/>
        <w:rPr>
          <w:rFonts w:asciiTheme="minorHAnsi" w:hAnsiTheme="minorHAnsi" w:cstheme="minorHAnsi"/>
          <w:sz w:val="14"/>
          <w:szCs w:val="14"/>
        </w:rPr>
      </w:pPr>
      <w:r w:rsidRPr="00454FC7">
        <w:rPr>
          <w:rFonts w:asciiTheme="minorHAnsi" w:hAnsiTheme="minorHAnsi" w:cstheme="minorHAnsi"/>
          <w:sz w:val="14"/>
          <w:szCs w:val="14"/>
          <w:vertAlign w:val="superscript"/>
        </w:rPr>
        <w:t>3*</w:t>
      </w:r>
      <w:r w:rsidRPr="00454FC7">
        <w:rPr>
          <w:rFonts w:asciiTheme="minorHAnsi" w:hAnsiTheme="minorHAnsi" w:cstheme="minorHAnsi"/>
          <w:sz w:val="14"/>
          <w:szCs w:val="14"/>
        </w:rPr>
        <w:t xml:space="preserve"> (presenter), PhD student in management, Department of Management, Macquarie University. </w:t>
      </w:r>
    </w:p>
    <w:p w14:paraId="32D6E3BF" w14:textId="77777777" w:rsidR="00F0605F" w:rsidRPr="00454FC7" w:rsidRDefault="00F0605F" w:rsidP="00F0605F">
      <w:pPr>
        <w:pStyle w:val="BodyText"/>
        <w:ind w:right="2468"/>
        <w:jc w:val="both"/>
        <w:rPr>
          <w:rFonts w:asciiTheme="minorHAnsi" w:hAnsiTheme="minorHAnsi" w:cstheme="minorHAnsi"/>
          <w:sz w:val="14"/>
          <w:szCs w:val="14"/>
        </w:rPr>
      </w:pPr>
      <w:r w:rsidRPr="00454FC7">
        <w:rPr>
          <w:rFonts w:asciiTheme="minorHAnsi" w:hAnsiTheme="minorHAnsi" w:cstheme="minorHAnsi"/>
          <w:sz w:val="14"/>
          <w:szCs w:val="14"/>
        </w:rPr>
        <w:t>PhD candidate in nursing education,</w:t>
      </w:r>
      <w:r w:rsidRPr="00454FC7">
        <w:rPr>
          <w:rFonts w:asciiTheme="minorHAnsi" w:hAnsiTheme="minorHAnsi" w:cstheme="minorHAnsi"/>
        </w:rPr>
        <w:t xml:space="preserve"> </w:t>
      </w:r>
      <w:r w:rsidRPr="00454FC7">
        <w:rPr>
          <w:rFonts w:asciiTheme="minorHAnsi" w:hAnsiTheme="minorHAnsi" w:cstheme="minorHAnsi"/>
          <w:sz w:val="14"/>
          <w:szCs w:val="14"/>
        </w:rPr>
        <w:t xml:space="preserve">School of Nursing and Midwifery, Tehran University of Medical Sciences, Tehran, Iran. </w:t>
      </w:r>
    </w:p>
    <w:p w14:paraId="77332AE9" w14:textId="77777777" w:rsidR="00AE3E37" w:rsidRDefault="00AE3E37">
      <w:pPr>
        <w:pStyle w:val="BodyText"/>
        <w:rPr>
          <w:rFonts w:ascii="Arial"/>
          <w:sz w:val="20"/>
        </w:rPr>
      </w:pPr>
    </w:p>
    <w:p w14:paraId="01023731" w14:textId="77777777" w:rsidR="00AE3E37" w:rsidRDefault="00AE3E37">
      <w:pPr>
        <w:pStyle w:val="BodyText"/>
        <w:spacing w:before="3"/>
        <w:rPr>
          <w:rFonts w:ascii="Arial"/>
          <w:sz w:val="21"/>
        </w:rPr>
      </w:pPr>
    </w:p>
    <w:p w14:paraId="4D0C00B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84ED09" w14:textId="2158F99C" w:rsidR="00AE3E37" w:rsidRDefault="00A9710C">
      <w:pPr>
        <w:pStyle w:val="Heading3"/>
        <w:spacing w:before="147"/>
        <w:jc w:val="both"/>
      </w:pPr>
      <w:r>
        <w:rPr>
          <w:color w:val="BF5A14"/>
        </w:rPr>
        <w:t>Abstract</w:t>
      </w:r>
      <w:r w:rsidR="00404E5B">
        <w:rPr>
          <w:color w:val="BF5A14"/>
        </w:rPr>
        <w:t xml:space="preserve"> </w:t>
      </w:r>
    </w:p>
    <w:p w14:paraId="0B24FB8C" w14:textId="624DDED8" w:rsidR="00110E9A" w:rsidRPr="00110E9A" w:rsidRDefault="00110E9A" w:rsidP="00110E9A">
      <w:pPr>
        <w:widowControl/>
        <w:spacing w:after="160" w:line="259" w:lineRule="auto"/>
        <w:jc w:val="both"/>
        <w:rPr>
          <w:rFonts w:ascii="Calibri" w:eastAsia="Calibri" w:hAnsi="Calibri" w:cs="Arial"/>
          <w:sz w:val="18"/>
          <w:szCs w:val="18"/>
          <w:lang w:val="en-AU"/>
        </w:rPr>
      </w:pPr>
      <w:r w:rsidRPr="00110E9A">
        <w:rPr>
          <w:rFonts w:ascii="Calibri" w:eastAsia="Calibri" w:hAnsi="Calibri" w:cs="Arial"/>
          <w:sz w:val="18"/>
          <w:szCs w:val="18"/>
          <w:lang w:val="en-AU"/>
        </w:rPr>
        <w:t xml:space="preserve">Medication management is a key approach to improve patient safety by enhancing quality of medication therapy process. Establishment of a well-organized medication management requires context-based actions with interprofessional cooperation. The purpose of this Participatory Action Research was developing medication management in the emergency department. The study setting was an emergency department in a University of medical sciences affiliated hospital. A total of 85 clinicians from nursing and medical groups with a clinical pharmacologist, an educational supervisor and a clinical supervisor participated in all stages of the study. We offered two levels of participation. Clinicians with greater degree of participation called “representatives”. All other clinician with lesser degree of involvement called “participants”. The study was accomplished in action cycles. At first stage of the first cycle, context analysis was done by gathering quantitative data and focus groups. Based on extracted results, actions were designed by a Professional Co-development Group selected from participants. Then actions were implemented and evaluated. Planning of actions for the second cycle were based on reflective stage in the previous cycle. The study ended by a final reflection and conclusion after 18 months period. </w:t>
      </w:r>
      <w:r w:rsidR="00047915">
        <w:rPr>
          <w:rFonts w:ascii="Calibri" w:eastAsia="Calibri" w:hAnsi="Calibri" w:cs="Arial"/>
          <w:sz w:val="18"/>
          <w:szCs w:val="18"/>
          <w:lang w:val="en-AU"/>
        </w:rPr>
        <w:t>T</w:t>
      </w:r>
      <w:bookmarkStart w:id="1" w:name="_GoBack"/>
      <w:bookmarkEnd w:id="1"/>
      <w:r w:rsidRPr="00110E9A">
        <w:rPr>
          <w:rFonts w:ascii="Calibri" w:eastAsia="Calibri" w:hAnsi="Calibri" w:cs="Arial"/>
          <w:sz w:val="18"/>
          <w:szCs w:val="18"/>
          <w:lang w:val="en-AU"/>
        </w:rPr>
        <w:t xml:space="preserve">here were lots of mismanaging in medication therapy. Medicinal distribution was based on ward stock and there was not an organized care delivery system. Interprofessional workshops for medication management and reporting medication errors were held. Care delivery system changed to case method, unit dose dispensing system was launched, and some policies for reacting to medication error were regulated. Most of participants acknowledged the change actions and found themselves to become more advanced on patient safety. </w:t>
      </w:r>
      <w:r w:rsidR="00047915">
        <w:rPr>
          <w:rFonts w:ascii="Calibri" w:eastAsia="Calibri" w:hAnsi="Calibri" w:cs="Arial"/>
          <w:sz w:val="18"/>
          <w:szCs w:val="18"/>
          <w:lang w:val="en-AU"/>
        </w:rPr>
        <w:t>T</w:t>
      </w:r>
      <w:r w:rsidRPr="00110E9A">
        <w:rPr>
          <w:rFonts w:ascii="Calibri" w:eastAsia="Calibri" w:hAnsi="Calibri" w:cs="Arial"/>
          <w:sz w:val="18"/>
          <w:szCs w:val="18"/>
          <w:lang w:val="en-AU"/>
        </w:rPr>
        <w:t xml:space="preserve">his study shows that healthcare professionals in the Emergency Department can generate improvement in medication management, collaboratively. The process of implementing changing actions enhanced participants’ knowledge on medication safety and their ability for improving continuity of care.  </w:t>
      </w:r>
    </w:p>
    <w:p w14:paraId="4A7E7032" w14:textId="4DF9AF92" w:rsidR="00AE3E37" w:rsidRDefault="00A9710C">
      <w:pPr>
        <w:pStyle w:val="Heading3"/>
        <w:spacing w:before="74"/>
      </w:pPr>
      <w:r>
        <w:rPr>
          <w:b w:val="0"/>
        </w:rPr>
        <w:br w:type="column"/>
      </w:r>
    </w:p>
    <w:p w14:paraId="5C6880AE" w14:textId="4E655ACB" w:rsidR="005973B9" w:rsidRDefault="005973B9" w:rsidP="005973B9">
      <w:pPr>
        <w:spacing w:line="204" w:lineRule="exact"/>
        <w:rPr>
          <w:rFonts w:ascii="Arial"/>
          <w:b/>
          <w:sz w:val="20"/>
        </w:rPr>
      </w:pPr>
      <w:r>
        <w:rPr>
          <w:rFonts w:ascii="Arial"/>
          <w:b/>
          <w:color w:val="BF5A14"/>
          <w:sz w:val="20"/>
        </w:rPr>
        <w:t xml:space="preserve">Recent Publications </w:t>
      </w:r>
    </w:p>
    <w:p w14:paraId="7DB0E200" w14:textId="591168FE" w:rsidR="006A235D" w:rsidRPr="006A235D" w:rsidRDefault="006A235D" w:rsidP="006A235D">
      <w:pPr>
        <w:widowControl/>
        <w:spacing w:after="160" w:line="259" w:lineRule="auto"/>
        <w:jc w:val="both"/>
        <w:rPr>
          <w:rFonts w:ascii="Calibri" w:eastAsia="Calibri" w:hAnsi="Calibri" w:cs="Arial"/>
          <w:sz w:val="18"/>
          <w:szCs w:val="18"/>
          <w:lang w:val="en-AU"/>
        </w:rPr>
      </w:pPr>
      <w:r>
        <w:rPr>
          <w:rFonts w:ascii="Calibri" w:eastAsia="Calibri" w:hAnsi="Calibri" w:cs="Arial"/>
          <w:sz w:val="18"/>
          <w:szCs w:val="18"/>
          <w:lang w:val="en-AU"/>
        </w:rPr>
        <w:t xml:space="preserve">1. </w:t>
      </w:r>
      <w:r w:rsidRPr="006A235D">
        <w:rPr>
          <w:rFonts w:ascii="Calibri" w:eastAsia="Calibri" w:hAnsi="Calibri" w:cs="Arial"/>
          <w:sz w:val="18"/>
          <w:szCs w:val="18"/>
          <w:lang w:val="en-AU"/>
        </w:rPr>
        <w:t xml:space="preserve">Breeding J, Welch S, Whittam S, Buscher H, Burrows F, Frost C, et al. Medication Error Minimization Scheme (MEMS) in an adult tertiary intensive care unit (ICU) 2009–2011. Australian Critical Care. 2013;26(2):58-75. </w:t>
      </w:r>
    </w:p>
    <w:p w14:paraId="05DB1B1B" w14:textId="4FBFE316" w:rsidR="006A235D" w:rsidRPr="006A235D" w:rsidRDefault="006A235D" w:rsidP="006A235D">
      <w:pPr>
        <w:widowControl/>
        <w:spacing w:after="160" w:line="259" w:lineRule="auto"/>
        <w:jc w:val="both"/>
        <w:rPr>
          <w:rFonts w:ascii="Calibri" w:eastAsia="Calibri" w:hAnsi="Calibri" w:cs="Arial"/>
          <w:sz w:val="18"/>
          <w:szCs w:val="18"/>
          <w:lang w:val="en-AU"/>
        </w:rPr>
      </w:pPr>
      <w:r>
        <w:rPr>
          <w:rFonts w:ascii="Calibri" w:eastAsia="Calibri" w:hAnsi="Calibri" w:cs="Arial"/>
          <w:sz w:val="18"/>
          <w:szCs w:val="18"/>
          <w:lang w:val="en-AU"/>
        </w:rPr>
        <w:t xml:space="preserve">2. </w:t>
      </w:r>
      <w:r w:rsidRPr="006A235D">
        <w:rPr>
          <w:rFonts w:ascii="Calibri" w:eastAsia="Calibri" w:hAnsi="Calibri" w:cs="Arial"/>
          <w:sz w:val="18"/>
          <w:szCs w:val="18"/>
          <w:lang w:val="en-AU"/>
        </w:rPr>
        <w:t>Cabilan C, Hughes JA, Shannon C. The use of a contextual, modal and psychological classification of medication errors in the emergency department: a retrospective descriptive study. Journal of clinical nursing. 2017;26(23-24):4335-43.</w:t>
      </w:r>
    </w:p>
    <w:p w14:paraId="41AB8D16" w14:textId="2EABB5C8" w:rsidR="006A235D" w:rsidRPr="006A235D" w:rsidRDefault="006A235D" w:rsidP="006A235D">
      <w:pPr>
        <w:widowControl/>
        <w:spacing w:after="160" w:line="259" w:lineRule="auto"/>
        <w:jc w:val="both"/>
        <w:rPr>
          <w:rFonts w:ascii="Calibri" w:eastAsia="Calibri" w:hAnsi="Calibri" w:cs="Arial"/>
          <w:sz w:val="18"/>
          <w:szCs w:val="18"/>
          <w:lang w:val="en-AU"/>
        </w:rPr>
      </w:pPr>
      <w:r>
        <w:rPr>
          <w:rFonts w:ascii="Calibri" w:eastAsia="Calibri" w:hAnsi="Calibri" w:cs="Arial"/>
          <w:sz w:val="18"/>
          <w:szCs w:val="18"/>
          <w:lang w:val="en-AU"/>
        </w:rPr>
        <w:t xml:space="preserve">3. </w:t>
      </w:r>
      <w:r w:rsidRPr="006A235D">
        <w:rPr>
          <w:rFonts w:ascii="Calibri" w:eastAsia="Calibri" w:hAnsi="Calibri" w:cs="Arial"/>
          <w:sz w:val="18"/>
          <w:szCs w:val="18"/>
          <w:lang w:val="en-AU"/>
        </w:rPr>
        <w:t>Cohen LJ, Donnenberg VS, Wiernik PH, Newman WC, Amankulor N. Core Entrustable Professional Activities in Clinical Pharmacology for Entering Residency: Value of Interprofessional Health‐Care Teams in Medication Prescribing and Medication Error Prevention. The Journal of Clinical Pharmacology. 2018;58(7):843-8.</w:t>
      </w:r>
    </w:p>
    <w:p w14:paraId="6D505A42" w14:textId="73ACA0E6" w:rsidR="006A235D" w:rsidRPr="006A235D" w:rsidRDefault="006A235D" w:rsidP="006A235D">
      <w:pPr>
        <w:widowControl/>
        <w:spacing w:after="160" w:line="259" w:lineRule="auto"/>
        <w:jc w:val="both"/>
        <w:rPr>
          <w:rFonts w:ascii="Calibri" w:eastAsia="Calibri" w:hAnsi="Calibri" w:cs="Arial"/>
          <w:sz w:val="18"/>
          <w:szCs w:val="18"/>
          <w:lang w:val="en-AU"/>
        </w:rPr>
      </w:pPr>
      <w:r>
        <w:rPr>
          <w:rFonts w:ascii="Calibri" w:eastAsia="Calibri" w:hAnsi="Calibri" w:cs="Arial"/>
          <w:sz w:val="18"/>
          <w:szCs w:val="18"/>
          <w:lang w:val="en-AU"/>
        </w:rPr>
        <w:t xml:space="preserve">4. </w:t>
      </w:r>
      <w:r w:rsidRPr="006A235D">
        <w:rPr>
          <w:rFonts w:ascii="Calibri" w:eastAsia="Calibri" w:hAnsi="Calibri" w:cs="Arial"/>
          <w:sz w:val="18"/>
          <w:szCs w:val="18"/>
          <w:lang w:val="en-AU"/>
        </w:rPr>
        <w:t>Lotta S, Kirsi A, Kirsi K, Anna-Riia H, Lasse L, Outi L-R, et al. Strategies for improving medication safety in hospitals: Evolution of clinical pharmacy services. Research in Social and Administrative Pharmacy. 2019.</w:t>
      </w:r>
    </w:p>
    <w:p w14:paraId="3EA38AF1" w14:textId="17825CB7" w:rsidR="006A235D" w:rsidRPr="006A235D" w:rsidRDefault="006A235D" w:rsidP="006A235D">
      <w:pPr>
        <w:widowControl/>
        <w:spacing w:after="160" w:line="259" w:lineRule="auto"/>
        <w:jc w:val="both"/>
        <w:rPr>
          <w:rFonts w:ascii="Calibri" w:eastAsia="Calibri" w:hAnsi="Calibri" w:cs="Arial"/>
          <w:sz w:val="18"/>
          <w:szCs w:val="18"/>
          <w:lang w:val="en-AU"/>
        </w:rPr>
      </w:pPr>
      <w:r>
        <w:rPr>
          <w:rFonts w:ascii="Calibri" w:eastAsia="Calibri" w:hAnsi="Calibri" w:cs="Arial"/>
          <w:sz w:val="18"/>
          <w:szCs w:val="18"/>
          <w:lang w:val="en-AU"/>
        </w:rPr>
        <w:t xml:space="preserve">5. </w:t>
      </w:r>
      <w:r w:rsidRPr="006A235D">
        <w:rPr>
          <w:rFonts w:ascii="Calibri" w:eastAsia="Calibri" w:hAnsi="Calibri" w:cs="Arial"/>
          <w:sz w:val="18"/>
          <w:szCs w:val="18"/>
          <w:lang w:val="en-AU"/>
        </w:rPr>
        <w:t>Roughead L, Semple S, Rosenfeld E. Literature review: medication safety in Australia. Sydney: Australian Commission on Safety and Quality in Health Care. 2013.</w:t>
      </w:r>
    </w:p>
    <w:p w14:paraId="1E3D386C" w14:textId="77777777" w:rsidR="00AE3E37" w:rsidRPr="008756E6" w:rsidRDefault="00AE3E37" w:rsidP="008756E6">
      <w:pPr>
        <w:tabs>
          <w:tab w:val="left" w:pos="384"/>
        </w:tabs>
        <w:ind w:right="117"/>
      </w:pPr>
    </w:p>
    <w:p w14:paraId="2DAA5B1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74F1EB" w14:textId="77777777" w:rsidR="00AE3E37" w:rsidRDefault="00AE3E37">
      <w:pPr>
        <w:pStyle w:val="BodyText"/>
        <w:rPr>
          <w:rFonts w:ascii="Calibri"/>
          <w:sz w:val="20"/>
        </w:rPr>
      </w:pPr>
    </w:p>
    <w:p w14:paraId="5071B48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7761A42" wp14:editId="68DA48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F5DA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527E8D3" w14:textId="2CC7DA33" w:rsidR="00AE3E37" w:rsidRDefault="008756E6" w:rsidP="00404E5B">
      <w:pPr>
        <w:spacing w:before="92"/>
        <w:ind w:right="4234"/>
        <w:rPr>
          <w:rFonts w:ascii="Arial"/>
        </w:rPr>
      </w:pPr>
      <w:r>
        <w:rPr>
          <w:noProof/>
        </w:rPr>
        <w:t xml:space="preserve">          </w:t>
      </w:r>
      <w:r w:rsidR="00A22BD8">
        <w:rPr>
          <w:noProof/>
        </w:rPr>
        <w:drawing>
          <wp:inline distT="0" distB="0" distL="0" distR="0" wp14:anchorId="67EA528E" wp14:editId="164448E1">
            <wp:extent cx="800100" cy="75674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7945" cy="783081"/>
                    </a:xfrm>
                    <a:prstGeom prst="rect">
                      <a:avLst/>
                    </a:prstGeom>
                    <a:noFill/>
                    <a:ln>
                      <a:noFill/>
                    </a:ln>
                  </pic:spPr>
                </pic:pic>
              </a:graphicData>
            </a:graphic>
          </wp:inline>
        </w:drawing>
      </w:r>
      <w:r>
        <w:rPr>
          <w:noProof/>
        </w:rPr>
        <w:t xml:space="preserve">    </w:t>
      </w:r>
      <w:r w:rsidR="009E33DD">
        <w:rPr>
          <w:noProof/>
          <w:vertAlign w:val="superscript"/>
        </w:rPr>
        <w:t>*</w:t>
      </w:r>
      <w:r w:rsidR="00A9710C">
        <w:rPr>
          <w:rFonts w:ascii="Arial"/>
          <w:color w:val="BF5A14"/>
        </w:rPr>
        <w:t>Biography</w:t>
      </w:r>
      <w:r w:rsidR="00404E5B">
        <w:rPr>
          <w:rFonts w:ascii="Arial"/>
          <w:color w:val="BF5A14"/>
        </w:rPr>
        <w:t xml:space="preserve"> </w:t>
      </w:r>
    </w:p>
    <w:p w14:paraId="571BC68F" w14:textId="3F28B7D8" w:rsidR="00AE3E37" w:rsidRDefault="002E17F8" w:rsidP="0028206C">
      <w:pPr>
        <w:spacing w:before="41" w:line="154" w:lineRule="exact"/>
        <w:ind w:left="213" w:right="231"/>
        <w:jc w:val="both"/>
        <w:rPr>
          <w:rFonts w:ascii="Arial"/>
          <w:sz w:val="14"/>
        </w:rPr>
      </w:pPr>
      <w:r>
        <w:rPr>
          <w:rFonts w:ascii="Arial"/>
          <w:sz w:val="14"/>
        </w:rPr>
        <w:t xml:space="preserve">Fatemeh Bakhshi is a PhD cotutelle student. She is PhD candidate </w:t>
      </w:r>
      <w:r w:rsidR="0028206C">
        <w:rPr>
          <w:rFonts w:ascii="Arial"/>
          <w:sz w:val="14"/>
        </w:rPr>
        <w:t>in</w:t>
      </w:r>
      <w:r>
        <w:rPr>
          <w:rFonts w:ascii="Arial"/>
          <w:sz w:val="14"/>
        </w:rPr>
        <w:t xml:space="preserve"> Nursing education and </w:t>
      </w:r>
      <w:r w:rsidR="0028206C">
        <w:rPr>
          <w:rFonts w:ascii="Arial"/>
          <w:sz w:val="14"/>
        </w:rPr>
        <w:t>R</w:t>
      </w:r>
      <w:r>
        <w:rPr>
          <w:rFonts w:ascii="Arial"/>
          <w:sz w:val="14"/>
        </w:rPr>
        <w:t xml:space="preserve">esearch </w:t>
      </w:r>
      <w:r w:rsidR="0028206C">
        <w:rPr>
          <w:rFonts w:ascii="Arial"/>
          <w:sz w:val="14"/>
        </w:rPr>
        <w:t>M</w:t>
      </w:r>
      <w:r>
        <w:rPr>
          <w:rFonts w:ascii="Arial"/>
          <w:sz w:val="14"/>
        </w:rPr>
        <w:t xml:space="preserve">anagement. Her area of interest during PhD is hospital management with emphasize on patient safety and medical errors. She tries to create new </w:t>
      </w:r>
      <w:r w:rsidR="00A936F3">
        <w:rPr>
          <w:rFonts w:ascii="Arial"/>
          <w:sz w:val="14"/>
        </w:rPr>
        <w:t>pathways</w:t>
      </w:r>
      <w:r>
        <w:rPr>
          <w:rFonts w:ascii="Arial"/>
          <w:sz w:val="14"/>
        </w:rPr>
        <w:t xml:space="preserve"> for improving </w:t>
      </w:r>
      <w:r w:rsidR="0028206C">
        <w:rPr>
          <w:rFonts w:ascii="Arial"/>
          <w:sz w:val="14"/>
        </w:rPr>
        <w:t>medication</w:t>
      </w:r>
      <w:r>
        <w:rPr>
          <w:rFonts w:ascii="Arial"/>
          <w:sz w:val="14"/>
        </w:rPr>
        <w:t xml:space="preserve"> safety and continuity of care. She has conducted several qualitative methods with focus of action research to better address these issues.</w:t>
      </w:r>
      <w:r w:rsidR="00A9710C">
        <w:rPr>
          <w:rFonts w:ascii="Arial"/>
          <w:sz w:val="14"/>
        </w:rPr>
        <w:t xml:space="preserve"> </w:t>
      </w:r>
    </w:p>
    <w:p w14:paraId="5F9D48F8" w14:textId="28EE3990" w:rsidR="00AE3E37" w:rsidRDefault="00A9710C">
      <w:pPr>
        <w:spacing w:before="62"/>
        <w:ind w:left="4217" w:right="4235"/>
        <w:jc w:val="center"/>
        <w:rPr>
          <w:rFonts w:ascii="Arial"/>
          <w:sz w:val="14"/>
        </w:rPr>
      </w:pPr>
      <w:r>
        <w:rPr>
          <w:rFonts w:ascii="Arial"/>
          <w:sz w:val="14"/>
        </w:rPr>
        <w:t xml:space="preserve">Email: </w:t>
      </w:r>
      <w:r w:rsidR="009E33DD" w:rsidRPr="009E33DD">
        <w:rPr>
          <w:rFonts w:ascii="Arial"/>
          <w:sz w:val="14"/>
        </w:rPr>
        <w:t>Fatemeh.bakhshi@hdr.</w:t>
      </w:r>
      <w:r w:rsidR="009E33DD">
        <w:rPr>
          <w:rFonts w:ascii="Arial"/>
          <w:sz w:val="14"/>
        </w:rPr>
        <w:t>mq.edu.au</w:t>
      </w:r>
    </w:p>
    <w:p w14:paraId="300536F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752C634" wp14:editId="1D8A95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2A0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319CE7C" w14:textId="77777777" w:rsidR="00AE3E37" w:rsidRDefault="00AE3E37">
      <w:pPr>
        <w:pStyle w:val="BodyText"/>
        <w:rPr>
          <w:rFonts w:ascii="Arial"/>
          <w:sz w:val="20"/>
        </w:rPr>
      </w:pPr>
    </w:p>
    <w:p w14:paraId="20134C75" w14:textId="77777777" w:rsidR="00AE3E37" w:rsidRDefault="00AE3E37">
      <w:pPr>
        <w:pStyle w:val="BodyText"/>
        <w:rPr>
          <w:rFonts w:ascii="Arial"/>
          <w:sz w:val="20"/>
        </w:rPr>
      </w:pPr>
    </w:p>
    <w:p w14:paraId="1F68DD14" w14:textId="77777777" w:rsidR="00AE3E37" w:rsidRDefault="00AE3E37">
      <w:pPr>
        <w:pStyle w:val="BodyText"/>
        <w:spacing w:before="7"/>
        <w:rPr>
          <w:rFonts w:ascii="Arial"/>
          <w:sz w:val="29"/>
        </w:rPr>
      </w:pPr>
    </w:p>
    <w:p w14:paraId="3C939084" w14:textId="15F83E02" w:rsidR="00AE3E37" w:rsidRPr="002E17F8" w:rsidRDefault="00A9710C" w:rsidP="002E17F8">
      <w:pPr>
        <w:spacing w:before="39"/>
        <w:ind w:left="100"/>
        <w:rPr>
          <w:rFonts w:ascii="Minion Pro"/>
          <w:b/>
          <w:sz w:val="20"/>
        </w:rPr>
        <w:sectPr w:rsidR="00AE3E37" w:rsidRPr="002E17F8">
          <w:type w:val="continuous"/>
          <w:pgSz w:w="11910" w:h="16840"/>
          <w:pgMar w:top="1740" w:right="600" w:bottom="840" w:left="620" w:header="720" w:footer="720" w:gutter="0"/>
          <w:cols w:space="720"/>
        </w:sectPr>
      </w:pPr>
      <w:r w:rsidRPr="00B21A57">
        <w:rPr>
          <w:rFonts w:ascii="Minion Pro"/>
          <w:b/>
          <w:sz w:val="20"/>
        </w:rPr>
        <w:t>Notes/Comments:</w:t>
      </w:r>
    </w:p>
    <w:p w14:paraId="041BD94B" w14:textId="77777777" w:rsidR="00AE3E37" w:rsidRDefault="00AE3E37" w:rsidP="002E17F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8E10D" w14:textId="77777777" w:rsidR="00181B55" w:rsidRDefault="00181B55">
      <w:r>
        <w:separator/>
      </w:r>
    </w:p>
  </w:endnote>
  <w:endnote w:type="continuationSeparator" w:id="0">
    <w:p w14:paraId="7421A01E" w14:textId="77777777" w:rsidR="00181B55" w:rsidRDefault="00181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D862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937DBE6" wp14:editId="7EFBD7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8FD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575F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7DBE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338FD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575F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91C33D" wp14:editId="58FBBB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499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E0DA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1C33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D3499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E0DA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615E20" wp14:editId="4E64CE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4E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1EB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15E2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1F4E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1EB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4BB62" w14:textId="77777777" w:rsidR="00181B55" w:rsidRDefault="00181B55">
      <w:r>
        <w:separator/>
      </w:r>
    </w:p>
  </w:footnote>
  <w:footnote w:type="continuationSeparator" w:id="0">
    <w:p w14:paraId="292856A8" w14:textId="77777777" w:rsidR="00181B55" w:rsidRDefault="00181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12A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B097CFA" wp14:editId="160C5FF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2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97CF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C572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3CA0B60" wp14:editId="292345C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455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3EA1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A0B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EB455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3EA1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B4914"/>
    <w:multiLevelType w:val="hybridMultilevel"/>
    <w:tmpl w:val="356E3C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7915"/>
    <w:rsid w:val="000B1566"/>
    <w:rsid w:val="000E2911"/>
    <w:rsid w:val="00110E9A"/>
    <w:rsid w:val="001263DF"/>
    <w:rsid w:val="00133E22"/>
    <w:rsid w:val="00181B55"/>
    <w:rsid w:val="002811B7"/>
    <w:rsid w:val="0028206C"/>
    <w:rsid w:val="00292ED9"/>
    <w:rsid w:val="0029310B"/>
    <w:rsid w:val="002E17F8"/>
    <w:rsid w:val="003A32EF"/>
    <w:rsid w:val="003C7FCE"/>
    <w:rsid w:val="003E067A"/>
    <w:rsid w:val="00404E5B"/>
    <w:rsid w:val="00414F7B"/>
    <w:rsid w:val="004355DC"/>
    <w:rsid w:val="00454FC7"/>
    <w:rsid w:val="004749B4"/>
    <w:rsid w:val="00494130"/>
    <w:rsid w:val="004F3523"/>
    <w:rsid w:val="00516076"/>
    <w:rsid w:val="005973B9"/>
    <w:rsid w:val="005B3A56"/>
    <w:rsid w:val="005B58BB"/>
    <w:rsid w:val="005B7CA9"/>
    <w:rsid w:val="006060CE"/>
    <w:rsid w:val="0063497F"/>
    <w:rsid w:val="006A235D"/>
    <w:rsid w:val="00873DF0"/>
    <w:rsid w:val="008756E6"/>
    <w:rsid w:val="008C2D90"/>
    <w:rsid w:val="00996FA9"/>
    <w:rsid w:val="009B2D44"/>
    <w:rsid w:val="009E33DD"/>
    <w:rsid w:val="00A07E82"/>
    <w:rsid w:val="00A22BD8"/>
    <w:rsid w:val="00A936F3"/>
    <w:rsid w:val="00A9710C"/>
    <w:rsid w:val="00AE1830"/>
    <w:rsid w:val="00AE3E37"/>
    <w:rsid w:val="00AE793B"/>
    <w:rsid w:val="00B21A57"/>
    <w:rsid w:val="00B279A4"/>
    <w:rsid w:val="00C26334"/>
    <w:rsid w:val="00C33602"/>
    <w:rsid w:val="00CD6F55"/>
    <w:rsid w:val="00DE026D"/>
    <w:rsid w:val="00DE3104"/>
    <w:rsid w:val="00E635BB"/>
    <w:rsid w:val="00F0605F"/>
    <w:rsid w:val="00F47CA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82E62"/>
  <w15:docId w15:val="{9AF7F57F-DC2E-44C8-AD38-FAD7DF65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MRS Fatemeh Bakhshi</cp:lastModifiedBy>
  <cp:revision>10</cp:revision>
  <dcterms:created xsi:type="dcterms:W3CDTF">2020-02-06T05:42:00Z</dcterms:created>
  <dcterms:modified xsi:type="dcterms:W3CDTF">2020-02-06T06:54:00Z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