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86D83" w:rsidRDefault="008232AC" w:rsidP="00D3129B">
      <w:pPr>
        <w:rPr>
          <w:rFonts w:asciiTheme="majorBidi" w:hAnsiTheme="majorBidi" w:cstheme="majorBidi"/>
          <w:b/>
          <w:bCs/>
          <w:sz w:val="16"/>
          <w:szCs w:val="16"/>
        </w:rPr>
      </w:pPr>
      <w:r>
        <w:rPr>
          <w:rFonts w:asciiTheme="majorBidi" w:hAnsiTheme="majorBidi" w:cstheme="majorBidi"/>
          <w:b/>
          <w:bCs/>
          <w:sz w:val="16"/>
          <w:szCs w:val="16"/>
        </w:rPr>
        <w:t>+</w:t>
      </w:r>
      <w:bookmarkStart w:id="0" w:name="_GoBack"/>
      <w:bookmarkEnd w:id="0"/>
      <w:r w:rsidR="00B86D83" w:rsidRPr="00233595">
        <w:rPr>
          <w:noProof/>
          <w:sz w:val="16"/>
          <w:szCs w:val="16"/>
        </w:rPr>
        <w:drawing>
          <wp:inline distT="0" distB="0" distL="0" distR="0" wp14:anchorId="057E84DA" wp14:editId="61BB573D">
            <wp:extent cx="609600" cy="485775"/>
            <wp:effectExtent l="0" t="0" r="0" b="9525"/>
            <wp:docPr id="1" name="Picture 1" descr="D:\5667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56677.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flipH="1">
                      <a:off x="0" y="0"/>
                      <a:ext cx="609600" cy="485775"/>
                    </a:xfrm>
                    <a:prstGeom prst="rect">
                      <a:avLst/>
                    </a:prstGeom>
                    <a:noFill/>
                    <a:ln>
                      <a:noFill/>
                    </a:ln>
                  </pic:spPr>
                </pic:pic>
              </a:graphicData>
            </a:graphic>
          </wp:inline>
        </w:drawing>
      </w:r>
    </w:p>
    <w:p w:rsidR="00D3129B" w:rsidRDefault="00B964DD" w:rsidP="00B86D83">
      <w:pPr>
        <w:rPr>
          <w:rFonts w:asciiTheme="majorBidi" w:hAnsiTheme="majorBidi" w:cstheme="majorBidi"/>
          <w:b/>
          <w:bCs/>
          <w:sz w:val="16"/>
          <w:szCs w:val="16"/>
        </w:rPr>
      </w:pPr>
      <w:r w:rsidRPr="004D7987">
        <w:rPr>
          <w:rFonts w:asciiTheme="majorBidi" w:hAnsiTheme="majorBidi" w:cstheme="majorBidi"/>
          <w:b/>
          <w:bCs/>
          <w:sz w:val="16"/>
          <w:szCs w:val="16"/>
        </w:rPr>
        <w:t>Study of the Iron Chelating Effect of Green Tea in Smear</w:t>
      </w:r>
      <w:r w:rsidRPr="004D7987">
        <w:rPr>
          <w:rFonts w:asciiTheme="majorBidi" w:hAnsiTheme="majorBidi" w:cstheme="majorBidi"/>
          <w:b/>
          <w:bCs/>
          <w:sz w:val="16"/>
          <w:szCs w:val="16"/>
          <w:rtl/>
        </w:rPr>
        <w:t xml:space="preserve"> </w:t>
      </w:r>
      <w:r w:rsidRPr="004D7987">
        <w:rPr>
          <w:rFonts w:asciiTheme="majorBidi" w:hAnsiTheme="majorBidi" w:cstheme="majorBidi"/>
          <w:b/>
          <w:bCs/>
          <w:sz w:val="16"/>
          <w:szCs w:val="16"/>
        </w:rPr>
        <w:t>Pos</w:t>
      </w:r>
      <w:r w:rsidR="00F84ABC">
        <w:rPr>
          <w:rFonts w:asciiTheme="majorBidi" w:hAnsiTheme="majorBidi" w:cstheme="majorBidi"/>
          <w:b/>
          <w:bCs/>
          <w:sz w:val="16"/>
          <w:szCs w:val="16"/>
        </w:rPr>
        <w:t>itive TB Patients using Sputum S</w:t>
      </w:r>
      <w:r w:rsidRPr="004D7987">
        <w:rPr>
          <w:rFonts w:asciiTheme="majorBidi" w:hAnsiTheme="majorBidi" w:cstheme="majorBidi"/>
          <w:b/>
          <w:bCs/>
          <w:sz w:val="16"/>
          <w:szCs w:val="16"/>
        </w:rPr>
        <w:t xml:space="preserve">mear, Serum </w:t>
      </w:r>
      <w:proofErr w:type="spellStart"/>
      <w:r w:rsidRPr="004D7987">
        <w:rPr>
          <w:rFonts w:asciiTheme="majorBidi" w:hAnsiTheme="majorBidi" w:cstheme="majorBidi"/>
          <w:b/>
          <w:bCs/>
          <w:sz w:val="16"/>
          <w:szCs w:val="16"/>
        </w:rPr>
        <w:t>Malondialdehyde</w:t>
      </w:r>
      <w:proofErr w:type="spellEnd"/>
      <w:r w:rsidRPr="004D7987">
        <w:rPr>
          <w:rFonts w:asciiTheme="majorBidi" w:hAnsiTheme="majorBidi" w:cstheme="majorBidi"/>
          <w:b/>
          <w:bCs/>
          <w:sz w:val="16"/>
          <w:szCs w:val="16"/>
        </w:rPr>
        <w:t xml:space="preserve"> and Blood Iron Indices</w:t>
      </w:r>
    </w:p>
    <w:p w:rsidR="00F203E8" w:rsidRPr="00D3129B" w:rsidRDefault="00B964DD" w:rsidP="00D3129B">
      <w:pPr>
        <w:rPr>
          <w:rFonts w:asciiTheme="majorBidi" w:hAnsiTheme="majorBidi" w:cstheme="majorBidi"/>
          <w:b/>
          <w:bCs/>
          <w:sz w:val="16"/>
          <w:szCs w:val="16"/>
        </w:rPr>
      </w:pPr>
      <w:proofErr w:type="spellStart"/>
      <w:r w:rsidRPr="00E66582">
        <w:rPr>
          <w:i/>
          <w:iCs/>
          <w:sz w:val="20"/>
          <w:szCs w:val="20"/>
          <w:u w:val="single"/>
        </w:rPr>
        <w:t>Eghtesadi.S</w:t>
      </w:r>
      <w:proofErr w:type="spellEnd"/>
      <w:r w:rsidRPr="00E66582">
        <w:rPr>
          <w:i/>
          <w:iCs/>
          <w:sz w:val="20"/>
          <w:szCs w:val="20"/>
          <w:u w:val="single"/>
        </w:rPr>
        <w:t xml:space="preserve"> ¹ Honarvar.M.R</w:t>
      </w:r>
      <w:r w:rsidRPr="00E66582">
        <w:rPr>
          <w:i/>
          <w:iCs/>
          <w:sz w:val="20"/>
          <w:szCs w:val="20"/>
        </w:rPr>
        <w:t xml:space="preserve">², </w:t>
      </w:r>
      <w:r w:rsidRPr="00E66582">
        <w:rPr>
          <w:sz w:val="20"/>
          <w:szCs w:val="20"/>
        </w:rPr>
        <w:t xml:space="preserve">Gill.P³, </w:t>
      </w:r>
      <w:proofErr w:type="spellStart"/>
      <w:r w:rsidRPr="00E66582">
        <w:rPr>
          <w:sz w:val="20"/>
          <w:szCs w:val="20"/>
        </w:rPr>
        <w:t>Jazayeri.S</w:t>
      </w:r>
      <w:proofErr w:type="spellEnd"/>
      <w:r w:rsidR="00122671" w:rsidRPr="00E66582">
        <w:rPr>
          <w:sz w:val="20"/>
          <w:szCs w:val="20"/>
        </w:rPr>
        <w:t xml:space="preserve"> </w:t>
      </w:r>
      <w:r w:rsidRPr="00E66582">
        <w:rPr>
          <w:sz w:val="20"/>
          <w:szCs w:val="20"/>
        </w:rPr>
        <w:t xml:space="preserve">4, </w:t>
      </w:r>
      <w:proofErr w:type="spellStart"/>
      <w:r w:rsidRPr="00E66582">
        <w:rPr>
          <w:i/>
          <w:iCs/>
          <w:sz w:val="20"/>
          <w:szCs w:val="20"/>
        </w:rPr>
        <w:t>Vakili</w:t>
      </w:r>
      <w:proofErr w:type="spellEnd"/>
      <w:r w:rsidRPr="00E66582">
        <w:rPr>
          <w:i/>
          <w:iCs/>
          <w:sz w:val="20"/>
          <w:szCs w:val="20"/>
        </w:rPr>
        <w:t xml:space="preserve"> M.5</w:t>
      </w:r>
      <w:proofErr w:type="gramStart"/>
      <w:r w:rsidRPr="00E66582">
        <w:rPr>
          <w:i/>
          <w:iCs/>
          <w:sz w:val="20"/>
          <w:szCs w:val="20"/>
        </w:rPr>
        <w:t>,</w:t>
      </w:r>
      <w:r w:rsidRPr="00E66582">
        <w:rPr>
          <w:sz w:val="20"/>
          <w:szCs w:val="20"/>
        </w:rPr>
        <w:t>Shamsardakani.M.R</w:t>
      </w:r>
      <w:proofErr w:type="gramEnd"/>
      <w:r w:rsidR="00122671" w:rsidRPr="00E66582">
        <w:rPr>
          <w:sz w:val="20"/>
          <w:szCs w:val="20"/>
        </w:rPr>
        <w:t xml:space="preserve"> </w:t>
      </w:r>
      <w:r w:rsidRPr="00E66582">
        <w:rPr>
          <w:sz w:val="20"/>
          <w:szCs w:val="20"/>
        </w:rPr>
        <w:t xml:space="preserve">6, </w:t>
      </w:r>
      <w:proofErr w:type="spellStart"/>
      <w:r w:rsidRPr="00E66582">
        <w:rPr>
          <w:sz w:val="20"/>
          <w:szCs w:val="20"/>
        </w:rPr>
        <w:t>Abbasi.A</w:t>
      </w:r>
      <w:proofErr w:type="spellEnd"/>
      <w:r w:rsidR="00122671" w:rsidRPr="00E66582">
        <w:rPr>
          <w:sz w:val="20"/>
          <w:szCs w:val="20"/>
        </w:rPr>
        <w:t xml:space="preserve"> </w:t>
      </w:r>
      <w:r w:rsidRPr="00E66582">
        <w:rPr>
          <w:sz w:val="20"/>
          <w:szCs w:val="20"/>
        </w:rPr>
        <w:t xml:space="preserve">7, </w:t>
      </w:r>
      <w:proofErr w:type="spellStart"/>
      <w:r w:rsidRPr="00E66582">
        <w:rPr>
          <w:sz w:val="20"/>
          <w:szCs w:val="20"/>
        </w:rPr>
        <w:t>Eghtesadi</w:t>
      </w:r>
      <w:proofErr w:type="spellEnd"/>
      <w:r w:rsidRPr="00E66582">
        <w:rPr>
          <w:sz w:val="20"/>
          <w:szCs w:val="20"/>
        </w:rPr>
        <w:t xml:space="preserve"> M8</w:t>
      </w:r>
    </w:p>
    <w:p w:rsidR="00F203E8" w:rsidRPr="00D3129B" w:rsidRDefault="00B964DD" w:rsidP="00F203E8">
      <w:pPr>
        <w:rPr>
          <w:rFonts w:asciiTheme="majorBidi" w:hAnsiTheme="majorBidi" w:cstheme="majorBidi"/>
          <w:b/>
          <w:bCs/>
          <w:sz w:val="16"/>
          <w:szCs w:val="16"/>
        </w:rPr>
      </w:pPr>
      <w:r w:rsidRPr="00D3129B">
        <w:rPr>
          <w:sz w:val="16"/>
          <w:szCs w:val="16"/>
          <w:vertAlign w:val="superscript"/>
        </w:rPr>
        <w:footnoteRef/>
      </w:r>
      <w:r w:rsidRPr="00D3129B">
        <w:rPr>
          <w:i/>
          <w:iCs/>
          <w:sz w:val="16"/>
          <w:szCs w:val="16"/>
        </w:rPr>
        <w:t>Azad Universit</w:t>
      </w:r>
      <w:r w:rsidR="00075C3D">
        <w:rPr>
          <w:i/>
          <w:iCs/>
          <w:sz w:val="16"/>
          <w:szCs w:val="16"/>
        </w:rPr>
        <w:t xml:space="preserve">y , Science and Research </w:t>
      </w:r>
      <w:proofErr w:type="spellStart"/>
      <w:r w:rsidR="00075C3D">
        <w:rPr>
          <w:i/>
          <w:iCs/>
          <w:sz w:val="16"/>
          <w:szCs w:val="16"/>
        </w:rPr>
        <w:t>Branch,</w:t>
      </w:r>
      <w:r w:rsidRPr="00D3129B">
        <w:rPr>
          <w:i/>
          <w:iCs/>
          <w:sz w:val="16"/>
          <w:szCs w:val="16"/>
        </w:rPr>
        <w:t>School</w:t>
      </w:r>
      <w:proofErr w:type="spellEnd"/>
      <w:r w:rsidRPr="00D3129B">
        <w:rPr>
          <w:i/>
          <w:iCs/>
          <w:sz w:val="16"/>
          <w:szCs w:val="16"/>
        </w:rPr>
        <w:t xml:space="preserve"> of Medical Sciences and Technology</w:t>
      </w:r>
      <w:r w:rsidR="00122671" w:rsidRPr="00D3129B">
        <w:rPr>
          <w:i/>
          <w:iCs/>
          <w:sz w:val="16"/>
          <w:szCs w:val="16"/>
        </w:rPr>
        <w:t>, Tehran, Ira</w:t>
      </w:r>
      <w:r w:rsidR="004D7987" w:rsidRPr="00D3129B">
        <w:rPr>
          <w:i/>
          <w:iCs/>
          <w:sz w:val="16"/>
          <w:szCs w:val="16"/>
        </w:rPr>
        <w:t>n</w:t>
      </w:r>
      <w:r w:rsidR="00E95ACA" w:rsidRPr="00D3129B">
        <w:rPr>
          <w:i/>
          <w:iCs/>
          <w:sz w:val="16"/>
          <w:szCs w:val="16"/>
        </w:rPr>
        <w:t xml:space="preserve"> </w:t>
      </w:r>
      <w:r w:rsidR="004D7987" w:rsidRPr="00D3129B">
        <w:rPr>
          <w:rFonts w:ascii="Times New Roman" w:eastAsia="Times New Roman" w:hAnsi="Times New Roman" w:cs="Zar"/>
          <w:i/>
          <w:iCs/>
          <w:sz w:val="16"/>
          <w:szCs w:val="16"/>
          <w:lang w:eastAsia="zh-CN"/>
        </w:rPr>
        <w:t xml:space="preserve">2-  School of Public Health , </w:t>
      </w:r>
      <w:r w:rsidRPr="00D3129B">
        <w:rPr>
          <w:rFonts w:ascii="Times New Roman" w:eastAsia="Times New Roman" w:hAnsi="Times New Roman" w:cs="Zar"/>
          <w:i/>
          <w:iCs/>
          <w:sz w:val="16"/>
          <w:szCs w:val="16"/>
          <w:lang w:eastAsia="zh-CN"/>
        </w:rPr>
        <w:t xml:space="preserve"> </w:t>
      </w:r>
      <w:proofErr w:type="spellStart"/>
      <w:r w:rsidRPr="00D3129B">
        <w:rPr>
          <w:rFonts w:ascii="Times New Roman" w:eastAsia="Times New Roman" w:hAnsi="Times New Roman" w:cs="Zar"/>
          <w:i/>
          <w:iCs/>
          <w:sz w:val="16"/>
          <w:szCs w:val="16"/>
          <w:lang w:eastAsia="zh-CN"/>
        </w:rPr>
        <w:t>Golestan</w:t>
      </w:r>
      <w:proofErr w:type="spellEnd"/>
      <w:r w:rsidRPr="00D3129B">
        <w:rPr>
          <w:rFonts w:ascii="Times New Roman" w:eastAsia="Times New Roman" w:hAnsi="Times New Roman" w:cs="Zar"/>
          <w:i/>
          <w:iCs/>
          <w:sz w:val="16"/>
          <w:szCs w:val="16"/>
          <w:lang w:eastAsia="zh-CN"/>
        </w:rPr>
        <w:t xml:space="preserve"> University of Medical Sciences, </w:t>
      </w:r>
      <w:proofErr w:type="spellStart"/>
      <w:r w:rsidRPr="00D3129B">
        <w:rPr>
          <w:rFonts w:ascii="Times New Roman" w:eastAsia="Times New Roman" w:hAnsi="Times New Roman" w:cs="Zar"/>
          <w:i/>
          <w:iCs/>
          <w:sz w:val="16"/>
          <w:szCs w:val="16"/>
          <w:lang w:eastAsia="zh-CN"/>
        </w:rPr>
        <w:t>Gorgan</w:t>
      </w:r>
      <w:proofErr w:type="spellEnd"/>
      <w:r w:rsidRPr="00D3129B">
        <w:rPr>
          <w:rFonts w:ascii="Times New Roman" w:eastAsia="Times New Roman" w:hAnsi="Times New Roman" w:cs="Zar"/>
          <w:i/>
          <w:iCs/>
          <w:sz w:val="16"/>
          <w:szCs w:val="16"/>
          <w:lang w:eastAsia="zh-CN"/>
        </w:rPr>
        <w:t>, Iran</w:t>
      </w:r>
      <w:r w:rsidR="00E95ACA" w:rsidRPr="00D3129B">
        <w:rPr>
          <w:rFonts w:ascii="Times New Roman" w:eastAsia="Times New Roman" w:hAnsi="Times New Roman" w:cs="Zar"/>
          <w:i/>
          <w:iCs/>
          <w:sz w:val="16"/>
          <w:szCs w:val="16"/>
          <w:lang w:eastAsia="zh-CN"/>
        </w:rPr>
        <w:t xml:space="preserve"> </w:t>
      </w:r>
      <w:r w:rsidR="004D7987" w:rsidRPr="00D3129B">
        <w:rPr>
          <w:rFonts w:ascii="Times New Roman" w:eastAsia="Times New Roman" w:hAnsi="Times New Roman" w:cs="Zar"/>
          <w:sz w:val="16"/>
          <w:szCs w:val="16"/>
          <w:lang w:eastAsia="zh-CN"/>
        </w:rPr>
        <w:t>3-</w:t>
      </w:r>
      <w:r w:rsidR="00E95ACA" w:rsidRPr="00D3129B">
        <w:rPr>
          <w:i/>
          <w:iCs/>
          <w:sz w:val="16"/>
          <w:szCs w:val="16"/>
          <w:lang w:eastAsia="zh-CN"/>
        </w:rPr>
        <w:t xml:space="preserve">Departments of  </w:t>
      </w:r>
      <w:proofErr w:type="spellStart"/>
      <w:r w:rsidRPr="00D3129B">
        <w:rPr>
          <w:i/>
          <w:iCs/>
          <w:sz w:val="16"/>
          <w:szCs w:val="16"/>
          <w:lang w:eastAsia="zh-CN"/>
        </w:rPr>
        <w:t>Phys</w:t>
      </w:r>
      <w:r w:rsidR="00E95ACA" w:rsidRPr="00D3129B">
        <w:rPr>
          <w:i/>
          <w:iCs/>
          <w:sz w:val="16"/>
          <w:szCs w:val="16"/>
          <w:lang w:eastAsia="zh-CN"/>
        </w:rPr>
        <w:t>ioPharmacology&amp;NanoBioMedicine,</w:t>
      </w:r>
      <w:r w:rsidRPr="00D3129B">
        <w:rPr>
          <w:i/>
          <w:iCs/>
          <w:sz w:val="16"/>
          <w:szCs w:val="16"/>
          <w:lang w:eastAsia="zh-CN"/>
        </w:rPr>
        <w:t>Research</w:t>
      </w:r>
      <w:proofErr w:type="spellEnd"/>
      <w:r w:rsidRPr="00D3129B">
        <w:rPr>
          <w:i/>
          <w:iCs/>
          <w:sz w:val="16"/>
          <w:szCs w:val="16"/>
          <w:lang w:eastAsia="zh-CN"/>
        </w:rPr>
        <w:t xml:space="preserve"> Center for </w:t>
      </w:r>
      <w:proofErr w:type="spellStart"/>
      <w:r w:rsidRPr="00D3129B">
        <w:rPr>
          <w:i/>
          <w:iCs/>
          <w:sz w:val="16"/>
          <w:szCs w:val="16"/>
          <w:lang w:eastAsia="zh-CN"/>
        </w:rPr>
        <w:t>Immunogenetics,Faculty</w:t>
      </w:r>
      <w:proofErr w:type="spellEnd"/>
      <w:r w:rsidRPr="00D3129B">
        <w:rPr>
          <w:i/>
          <w:iCs/>
          <w:sz w:val="16"/>
          <w:szCs w:val="16"/>
          <w:lang w:eastAsia="zh-CN"/>
        </w:rPr>
        <w:t xml:space="preserve"> of Medicine, Mazandaran University of Medical Sciences </w:t>
      </w:r>
      <w:r w:rsidRPr="00D3129B">
        <w:rPr>
          <w:rFonts w:ascii="Times New Roman" w:eastAsia="Times New Roman" w:hAnsi="Times New Roman" w:cs="Zar"/>
          <w:i/>
          <w:iCs/>
          <w:sz w:val="16"/>
          <w:szCs w:val="16"/>
          <w:lang w:eastAsia="zh-CN"/>
        </w:rPr>
        <w:t>,</w:t>
      </w:r>
      <w:r w:rsidR="00E66854" w:rsidRPr="00D3129B">
        <w:rPr>
          <w:i/>
          <w:iCs/>
          <w:sz w:val="16"/>
          <w:szCs w:val="16"/>
          <w:lang w:eastAsia="zh-CN"/>
        </w:rPr>
        <w:t>Sari,</w:t>
      </w:r>
      <w:r w:rsidRPr="00D3129B">
        <w:rPr>
          <w:i/>
          <w:iCs/>
          <w:sz w:val="16"/>
          <w:szCs w:val="16"/>
          <w:lang w:eastAsia="zh-CN"/>
        </w:rPr>
        <w:t xml:space="preserve"> Iran.</w:t>
      </w:r>
      <w:r w:rsidR="004D7987" w:rsidRPr="00D3129B">
        <w:rPr>
          <w:rFonts w:ascii="Times New Roman" w:eastAsia="Times New Roman" w:hAnsi="Times New Roman" w:cs="Zar"/>
          <w:sz w:val="16"/>
          <w:szCs w:val="16"/>
          <w:lang w:eastAsia="zh-CN"/>
        </w:rPr>
        <w:t>4-</w:t>
      </w:r>
      <w:r w:rsidRPr="00D3129B">
        <w:rPr>
          <w:rFonts w:ascii="Times New Roman" w:eastAsia="Times New Roman" w:hAnsi="Times New Roman" w:cs="Zar"/>
          <w:i/>
          <w:iCs/>
          <w:sz w:val="16"/>
          <w:szCs w:val="16"/>
          <w:lang w:eastAsia="zh-CN"/>
        </w:rPr>
        <w:t>,Department of Nutrition, School of Public Health, Iran University of Medical Sciences, Tehran, Iran</w:t>
      </w:r>
      <w:r w:rsidR="00E95ACA" w:rsidRPr="00D3129B">
        <w:rPr>
          <w:rFonts w:ascii="Times New Roman" w:eastAsia="Times New Roman" w:hAnsi="Times New Roman" w:cs="Zar"/>
          <w:i/>
          <w:iCs/>
          <w:sz w:val="16"/>
          <w:szCs w:val="16"/>
          <w:lang w:eastAsia="zh-CN"/>
        </w:rPr>
        <w:t>,</w:t>
      </w:r>
      <w:r w:rsidRPr="00D3129B">
        <w:rPr>
          <w:rFonts w:ascii="Times New Roman" w:eastAsia="Times New Roman" w:hAnsi="Times New Roman" w:cs="Zar"/>
          <w:i/>
          <w:iCs/>
          <w:sz w:val="16"/>
          <w:szCs w:val="16"/>
          <w:lang w:eastAsia="zh-CN"/>
        </w:rPr>
        <w:t>.</w:t>
      </w:r>
      <w:r w:rsidR="004D7987" w:rsidRPr="00D3129B">
        <w:rPr>
          <w:rFonts w:ascii="Times New Roman" w:eastAsia="Times New Roman" w:hAnsi="Times New Roman" w:cs="Zar"/>
          <w:sz w:val="16"/>
          <w:szCs w:val="16"/>
          <w:vertAlign w:val="superscript"/>
          <w:lang w:eastAsia="zh-CN"/>
        </w:rPr>
        <w:t>5-</w:t>
      </w:r>
      <w:r w:rsidRPr="00D3129B">
        <w:rPr>
          <w:rFonts w:ascii="Times New Roman" w:eastAsia="Times New Roman" w:hAnsi="Times New Roman" w:cs="Zar"/>
          <w:i/>
          <w:iCs/>
          <w:sz w:val="16"/>
          <w:szCs w:val="16"/>
          <w:lang w:eastAsia="zh-CN"/>
        </w:rPr>
        <w:t xml:space="preserve">Department of Health and Social Medicine, Health Management and Social Development Research Center, </w:t>
      </w:r>
      <w:proofErr w:type="spellStart"/>
      <w:r w:rsidRPr="00D3129B">
        <w:rPr>
          <w:rFonts w:ascii="Times New Roman" w:eastAsia="Times New Roman" w:hAnsi="Times New Roman" w:cs="Zar"/>
          <w:i/>
          <w:iCs/>
          <w:sz w:val="16"/>
          <w:szCs w:val="16"/>
          <w:lang w:eastAsia="zh-CN"/>
        </w:rPr>
        <w:t>Golestan</w:t>
      </w:r>
      <w:proofErr w:type="spellEnd"/>
      <w:r w:rsidRPr="00D3129B">
        <w:rPr>
          <w:rFonts w:ascii="Times New Roman" w:eastAsia="Times New Roman" w:hAnsi="Times New Roman" w:cs="Zar"/>
          <w:i/>
          <w:iCs/>
          <w:sz w:val="16"/>
          <w:szCs w:val="16"/>
          <w:lang w:eastAsia="zh-CN"/>
        </w:rPr>
        <w:t xml:space="preserve"> University of Medical Sciences, </w:t>
      </w:r>
      <w:proofErr w:type="spellStart"/>
      <w:r w:rsidRPr="00D3129B">
        <w:rPr>
          <w:rFonts w:ascii="Times New Roman" w:eastAsia="Times New Roman" w:hAnsi="Times New Roman" w:cs="Zar"/>
          <w:i/>
          <w:iCs/>
          <w:sz w:val="16"/>
          <w:szCs w:val="16"/>
          <w:lang w:eastAsia="zh-CN"/>
        </w:rPr>
        <w:t>Gorgan</w:t>
      </w:r>
      <w:proofErr w:type="spellEnd"/>
      <w:r w:rsidRPr="00D3129B">
        <w:rPr>
          <w:rFonts w:ascii="Times New Roman" w:eastAsia="Times New Roman" w:hAnsi="Times New Roman" w:cs="Zar"/>
          <w:i/>
          <w:iCs/>
          <w:sz w:val="16"/>
          <w:szCs w:val="16"/>
          <w:lang w:eastAsia="zh-CN"/>
        </w:rPr>
        <w:t>, Iran.</w:t>
      </w:r>
      <w:r w:rsidR="004D7987" w:rsidRPr="00D3129B">
        <w:rPr>
          <w:sz w:val="16"/>
          <w:szCs w:val="16"/>
          <w:vertAlign w:val="superscript"/>
        </w:rPr>
        <w:t>6-</w:t>
      </w:r>
      <w:r w:rsidRPr="00D3129B">
        <w:rPr>
          <w:i/>
          <w:iCs/>
          <w:sz w:val="16"/>
          <w:szCs w:val="16"/>
        </w:rPr>
        <w:t xml:space="preserve"> Department of </w:t>
      </w:r>
      <w:proofErr w:type="spellStart"/>
      <w:r w:rsidRPr="00D3129B">
        <w:rPr>
          <w:i/>
          <w:iCs/>
          <w:sz w:val="16"/>
          <w:szCs w:val="16"/>
        </w:rPr>
        <w:t>Pharmacognosy</w:t>
      </w:r>
      <w:proofErr w:type="spellEnd"/>
      <w:r w:rsidRPr="00D3129B">
        <w:rPr>
          <w:i/>
          <w:iCs/>
          <w:sz w:val="16"/>
          <w:szCs w:val="16"/>
        </w:rPr>
        <w:t>, Faculty of Pharmacy and Medicinal Plants Research Center , Tehran University of Medical Sciences , Tehran , Iran.</w:t>
      </w:r>
      <w:r w:rsidR="004D7987" w:rsidRPr="00D3129B">
        <w:rPr>
          <w:rFonts w:ascii="Times New Roman" w:eastAsia="Times New Roman" w:hAnsi="Times New Roman" w:cs="Zar"/>
          <w:sz w:val="16"/>
          <w:szCs w:val="16"/>
          <w:lang w:eastAsia="zh-CN"/>
        </w:rPr>
        <w:t>7-</w:t>
      </w:r>
      <w:r w:rsidRPr="00D3129B">
        <w:rPr>
          <w:i/>
          <w:iCs/>
          <w:sz w:val="16"/>
          <w:szCs w:val="16"/>
        </w:rPr>
        <w:t xml:space="preserve"> Department of Infection, Faculty of Medicine, </w:t>
      </w:r>
      <w:proofErr w:type="spellStart"/>
      <w:r w:rsidRPr="00D3129B">
        <w:rPr>
          <w:i/>
          <w:iCs/>
          <w:sz w:val="16"/>
          <w:szCs w:val="16"/>
        </w:rPr>
        <w:t>Golestan</w:t>
      </w:r>
      <w:proofErr w:type="spellEnd"/>
      <w:r w:rsidRPr="00D3129B">
        <w:rPr>
          <w:i/>
          <w:iCs/>
          <w:sz w:val="16"/>
          <w:szCs w:val="16"/>
        </w:rPr>
        <w:t xml:space="preserve"> University of Medical Sciences, </w:t>
      </w:r>
      <w:proofErr w:type="spellStart"/>
      <w:r w:rsidRPr="00D3129B">
        <w:rPr>
          <w:i/>
          <w:iCs/>
          <w:sz w:val="16"/>
          <w:szCs w:val="16"/>
        </w:rPr>
        <w:t>Gorgan</w:t>
      </w:r>
      <w:proofErr w:type="spellEnd"/>
      <w:r w:rsidRPr="00D3129B">
        <w:rPr>
          <w:i/>
          <w:iCs/>
          <w:sz w:val="16"/>
          <w:szCs w:val="16"/>
        </w:rPr>
        <w:t>, Iran</w:t>
      </w:r>
      <w:r w:rsidR="00E95ACA" w:rsidRPr="00D3129B">
        <w:rPr>
          <w:i/>
          <w:iCs/>
          <w:sz w:val="16"/>
          <w:szCs w:val="16"/>
        </w:rPr>
        <w:t>,</w:t>
      </w:r>
      <w:r w:rsidR="004D7987" w:rsidRPr="00D3129B">
        <w:rPr>
          <w:i/>
          <w:iCs/>
          <w:sz w:val="16"/>
          <w:szCs w:val="16"/>
        </w:rPr>
        <w:t>8</w:t>
      </w:r>
      <w:r w:rsidRPr="00D3129B">
        <w:rPr>
          <w:i/>
          <w:iCs/>
          <w:sz w:val="16"/>
          <w:szCs w:val="16"/>
        </w:rPr>
        <w:t xml:space="preserve"> Azad University School of Medical Sciences, Tehran Branch, Department of Research, Tehran, Iran</w:t>
      </w:r>
    </w:p>
    <w:p w:rsidR="00F203E8" w:rsidRPr="00F203E8" w:rsidRDefault="00B964DD" w:rsidP="00F203E8">
      <w:pPr>
        <w:rPr>
          <w:rFonts w:asciiTheme="majorBidi" w:hAnsiTheme="majorBidi" w:cstheme="majorBidi"/>
          <w:b/>
          <w:bCs/>
          <w:sz w:val="16"/>
          <w:szCs w:val="16"/>
        </w:rPr>
      </w:pPr>
      <w:proofErr w:type="spellStart"/>
      <w:r w:rsidRPr="00B964DD">
        <w:rPr>
          <w:rFonts w:asciiTheme="majorBidi" w:hAnsiTheme="majorBidi" w:cstheme="majorBidi"/>
          <w:sz w:val="16"/>
          <w:szCs w:val="16"/>
        </w:rPr>
        <w:t>Abstract</w:t>
      </w:r>
      <w:proofErr w:type="gramStart"/>
      <w:r w:rsidRPr="00B964DD">
        <w:rPr>
          <w:rFonts w:asciiTheme="majorBidi" w:hAnsiTheme="majorBidi" w:cstheme="majorBidi"/>
          <w:sz w:val="16"/>
          <w:szCs w:val="16"/>
        </w:rPr>
        <w:t>:Green</w:t>
      </w:r>
      <w:proofErr w:type="spellEnd"/>
      <w:proofErr w:type="gramEnd"/>
      <w:r w:rsidRPr="00B964DD">
        <w:rPr>
          <w:rFonts w:asciiTheme="majorBidi" w:hAnsiTheme="majorBidi" w:cstheme="majorBidi"/>
          <w:sz w:val="16"/>
          <w:szCs w:val="16"/>
        </w:rPr>
        <w:t xml:space="preserve"> tea with possessing iron chelating properties can be useful in TB treatment and management. We studied the effect of green tea consumption on iron status and improving process of pulmonary tuberculosis treatment (accelerating the negative sputum smear, reducing the level of oxidative stress). Following the  approval  by  Ethics Committee for Human Studies of </w:t>
      </w:r>
      <w:proofErr w:type="spellStart"/>
      <w:r w:rsidRPr="00B964DD">
        <w:rPr>
          <w:rFonts w:asciiTheme="majorBidi" w:hAnsiTheme="majorBidi" w:cstheme="majorBidi"/>
          <w:sz w:val="16"/>
          <w:szCs w:val="16"/>
        </w:rPr>
        <w:t>Golestan</w:t>
      </w:r>
      <w:proofErr w:type="spellEnd"/>
      <w:r w:rsidRPr="00B964DD">
        <w:rPr>
          <w:rFonts w:asciiTheme="majorBidi" w:hAnsiTheme="majorBidi" w:cstheme="majorBidi"/>
          <w:sz w:val="16"/>
          <w:szCs w:val="16"/>
        </w:rPr>
        <w:t xml:space="preserve"> and Tehran Universities of Medical Sciences and also obtaining the written consent of patients , this double-blinded randomized clinical trial study, was conducted on patients with TB, who were assigned randomly to the intervention group (41 patients) receiving 500 mg </w:t>
      </w:r>
      <w:proofErr w:type="spellStart"/>
      <w:r w:rsidRPr="00B964DD">
        <w:rPr>
          <w:rFonts w:asciiTheme="majorBidi" w:hAnsiTheme="majorBidi" w:cstheme="majorBidi"/>
          <w:sz w:val="16"/>
          <w:szCs w:val="16"/>
        </w:rPr>
        <w:t>catechin</w:t>
      </w:r>
      <w:proofErr w:type="spellEnd"/>
      <w:r w:rsidRPr="00B964DD">
        <w:rPr>
          <w:rFonts w:asciiTheme="majorBidi" w:hAnsiTheme="majorBidi" w:cstheme="majorBidi"/>
          <w:sz w:val="16"/>
          <w:szCs w:val="16"/>
        </w:rPr>
        <w:t xml:space="preserve"> of green tea extract and the control group (39 subjects) receiving placebo for two months, since the beginning of  concomitant anti-TB treatment .  Sputum evaluation was carried out on three slides using the </w:t>
      </w:r>
      <w:proofErr w:type="spellStart"/>
      <w:r w:rsidRPr="00B964DD">
        <w:rPr>
          <w:rFonts w:asciiTheme="majorBidi" w:hAnsiTheme="majorBidi" w:cstheme="majorBidi"/>
          <w:sz w:val="16"/>
          <w:szCs w:val="16"/>
        </w:rPr>
        <w:t>Ziehl</w:t>
      </w:r>
      <w:proofErr w:type="spellEnd"/>
      <w:r w:rsidRPr="00B964DD">
        <w:rPr>
          <w:rFonts w:asciiTheme="majorBidi" w:hAnsiTheme="majorBidi" w:cstheme="majorBidi"/>
          <w:sz w:val="16"/>
          <w:szCs w:val="16"/>
        </w:rPr>
        <w:t xml:space="preserve"> Nelson method. At first, the demographic and dietary intake </w:t>
      </w:r>
      <w:proofErr w:type="gramStart"/>
      <w:r w:rsidRPr="00B964DD">
        <w:rPr>
          <w:rFonts w:asciiTheme="majorBidi" w:hAnsiTheme="majorBidi" w:cstheme="majorBidi"/>
          <w:sz w:val="16"/>
          <w:szCs w:val="16"/>
        </w:rPr>
        <w:t>data  were</w:t>
      </w:r>
      <w:proofErr w:type="gramEnd"/>
      <w:r w:rsidRPr="00B964DD">
        <w:rPr>
          <w:rFonts w:asciiTheme="majorBidi" w:hAnsiTheme="majorBidi" w:cstheme="majorBidi"/>
          <w:sz w:val="16"/>
          <w:szCs w:val="16"/>
        </w:rPr>
        <w:t xml:space="preserve"> obtained. . After obtaining 10 ml of venous blood, Hemoglobin (</w:t>
      </w:r>
      <w:proofErr w:type="spellStart"/>
      <w:r w:rsidRPr="00B964DD">
        <w:rPr>
          <w:rFonts w:asciiTheme="majorBidi" w:hAnsiTheme="majorBidi" w:cstheme="majorBidi"/>
          <w:sz w:val="16"/>
          <w:szCs w:val="16"/>
        </w:rPr>
        <w:t>Hb</w:t>
      </w:r>
      <w:proofErr w:type="spellEnd"/>
      <w:r w:rsidRPr="00B964DD">
        <w:rPr>
          <w:rFonts w:asciiTheme="majorBidi" w:hAnsiTheme="majorBidi" w:cstheme="majorBidi"/>
          <w:sz w:val="16"/>
          <w:szCs w:val="16"/>
        </w:rPr>
        <w:t xml:space="preserve">), Transferrin, Ferritin, Total iron binding capacity (TIBC), Iron and Serum </w:t>
      </w:r>
      <w:proofErr w:type="spellStart"/>
      <w:r w:rsidRPr="00B964DD">
        <w:rPr>
          <w:rFonts w:asciiTheme="majorBidi" w:hAnsiTheme="majorBidi" w:cstheme="majorBidi"/>
          <w:sz w:val="16"/>
          <w:szCs w:val="16"/>
        </w:rPr>
        <w:t>malondialdehyde</w:t>
      </w:r>
      <w:proofErr w:type="spellEnd"/>
      <w:r w:rsidRPr="00B964DD">
        <w:rPr>
          <w:rFonts w:asciiTheme="majorBidi" w:hAnsiTheme="majorBidi" w:cstheme="majorBidi"/>
          <w:sz w:val="16"/>
          <w:szCs w:val="16"/>
        </w:rPr>
        <w:t xml:space="preserve"> (MDA) were measured at the beginning and end of the study. Sputum samples were collected from the third week (every 10 days) and the reduction of microbial load was also tested until sputum smear became </w:t>
      </w:r>
      <w:proofErr w:type="spellStart"/>
      <w:r w:rsidRPr="00B964DD">
        <w:rPr>
          <w:rFonts w:asciiTheme="majorBidi" w:hAnsiTheme="majorBidi" w:cstheme="majorBidi"/>
          <w:sz w:val="16"/>
          <w:szCs w:val="16"/>
        </w:rPr>
        <w:t>negative.Data</w:t>
      </w:r>
      <w:proofErr w:type="spellEnd"/>
      <w:r w:rsidRPr="00B964DD">
        <w:rPr>
          <w:rFonts w:asciiTheme="majorBidi" w:hAnsiTheme="majorBidi" w:cstheme="majorBidi"/>
          <w:sz w:val="16"/>
          <w:szCs w:val="16"/>
        </w:rPr>
        <w:t xml:space="preserve"> were processed using independent and paired t-test, </w:t>
      </w:r>
      <w:proofErr w:type="spellStart"/>
      <w:r w:rsidRPr="00B964DD">
        <w:rPr>
          <w:rFonts w:asciiTheme="majorBidi" w:hAnsiTheme="majorBidi" w:cstheme="majorBidi"/>
          <w:sz w:val="16"/>
          <w:szCs w:val="16"/>
        </w:rPr>
        <w:t>McNemar</w:t>
      </w:r>
      <w:proofErr w:type="spellEnd"/>
      <w:r w:rsidRPr="00B964DD">
        <w:rPr>
          <w:rFonts w:asciiTheme="majorBidi" w:hAnsiTheme="majorBidi" w:cstheme="majorBidi"/>
          <w:sz w:val="16"/>
          <w:szCs w:val="16"/>
        </w:rPr>
        <w:t xml:space="preserve">, Wilcoxon, Kaplan-Meier, Log-rank test and Cox regression model. P-value was taken significant as &lt;0.05.Average daily energy intake of patients was 1518±431  kcal, distribution of which was as follow: carbohydrates (58%), protein (17%) and fat (22%).Vitamin D and Zinc intake of patients were less and iron intake was higher than the DRI. Weight changes in both groups of placebo and green tea had tendency of increase with a significant difference at two and six month </w:t>
      </w:r>
      <w:proofErr w:type="gramStart"/>
      <w:r w:rsidRPr="00B964DD">
        <w:rPr>
          <w:rFonts w:asciiTheme="majorBidi" w:hAnsiTheme="majorBidi" w:cstheme="majorBidi"/>
          <w:sz w:val="16"/>
          <w:szCs w:val="16"/>
        </w:rPr>
        <w:t>follow</w:t>
      </w:r>
      <w:proofErr w:type="gramEnd"/>
      <w:r w:rsidRPr="00B964DD">
        <w:rPr>
          <w:rFonts w:asciiTheme="majorBidi" w:hAnsiTheme="majorBidi" w:cstheme="majorBidi"/>
          <w:sz w:val="16"/>
          <w:szCs w:val="16"/>
        </w:rPr>
        <w:t xml:space="preserve"> ups (p˂0.0001). However, there were no significant changes due to intervention compared to placebo. Sputum conversion time (days) was 52.5± 24.5 (median= 53 days) and 40.6 ± 22.5 (median= 29 days) in placebo and </w:t>
      </w:r>
      <w:proofErr w:type="spellStart"/>
      <w:r w:rsidRPr="00B964DD">
        <w:rPr>
          <w:rFonts w:asciiTheme="majorBidi" w:hAnsiTheme="majorBidi" w:cstheme="majorBidi"/>
          <w:sz w:val="16"/>
          <w:szCs w:val="16"/>
        </w:rPr>
        <w:t>catechin</w:t>
      </w:r>
      <w:proofErr w:type="spellEnd"/>
      <w:r w:rsidRPr="00B964DD">
        <w:rPr>
          <w:rFonts w:asciiTheme="majorBidi" w:hAnsiTheme="majorBidi" w:cstheme="majorBidi"/>
          <w:sz w:val="16"/>
          <w:szCs w:val="16"/>
        </w:rPr>
        <w:t xml:space="preserve"> groups, respectively. The proportion of patients in the green tea group based on criterion of ; the short duration of being negative sputum smear; was significantly higher than the placebo group</w:t>
      </w:r>
      <w:r w:rsidRPr="00B964DD">
        <w:rPr>
          <w:rFonts w:asciiTheme="majorBidi" w:hAnsiTheme="majorBidi" w:cs="B Nazanin"/>
          <w:sz w:val="16"/>
          <w:szCs w:val="16"/>
        </w:rPr>
        <w:t xml:space="preserve"> (p=0.032)</w:t>
      </w:r>
      <w:r w:rsidRPr="00B964DD">
        <w:rPr>
          <w:rFonts w:asciiTheme="majorBidi" w:hAnsiTheme="majorBidi" w:cstheme="majorBidi"/>
          <w:sz w:val="16"/>
          <w:szCs w:val="16"/>
        </w:rPr>
        <w:t>. To measure the mean of iron status after intervention, ANCOVA test showed mean difference level (</w:t>
      </w:r>
      <w:proofErr w:type="spellStart"/>
      <w:r w:rsidRPr="00B964DD">
        <w:rPr>
          <w:rFonts w:asciiTheme="majorBidi" w:hAnsiTheme="majorBidi" w:cstheme="majorBidi"/>
          <w:sz w:val="16"/>
          <w:szCs w:val="16"/>
        </w:rPr>
        <w:t>Pvalue</w:t>
      </w:r>
      <w:proofErr w:type="spellEnd"/>
      <w:r w:rsidRPr="00B964DD">
        <w:rPr>
          <w:rFonts w:asciiTheme="majorBidi" w:hAnsiTheme="majorBidi" w:cstheme="majorBidi"/>
          <w:sz w:val="16"/>
          <w:szCs w:val="16"/>
        </w:rPr>
        <w:t xml:space="preserve">) in both groups for </w:t>
      </w:r>
      <w:proofErr w:type="spellStart"/>
      <w:r w:rsidRPr="00B964DD">
        <w:rPr>
          <w:rFonts w:asciiTheme="majorBidi" w:hAnsiTheme="majorBidi" w:cstheme="majorBidi"/>
          <w:sz w:val="16"/>
          <w:szCs w:val="16"/>
        </w:rPr>
        <w:t>Hb</w:t>
      </w:r>
      <w:proofErr w:type="spellEnd"/>
      <w:r w:rsidRPr="00B964DD">
        <w:rPr>
          <w:rFonts w:asciiTheme="majorBidi" w:hAnsiTheme="majorBidi" w:cstheme="majorBidi"/>
          <w:sz w:val="16"/>
          <w:szCs w:val="16"/>
        </w:rPr>
        <w:t xml:space="preserve">, iron, TIBC, transferrin and ferritin as of: 0.004, 0.56, 0.65, 0.38 and 0.16, respectively which means that increase of hemoglobin in the green tea group was significant compared with the placebo group. There was just a 9.2 </w:t>
      </w:r>
      <w:proofErr w:type="spellStart"/>
      <w:r w:rsidRPr="00B964DD">
        <w:rPr>
          <w:rFonts w:asciiTheme="majorBidi" w:hAnsiTheme="majorBidi" w:cstheme="majorBidi"/>
          <w:sz w:val="16"/>
          <w:szCs w:val="16"/>
        </w:rPr>
        <w:t>nmol</w:t>
      </w:r>
      <w:proofErr w:type="spellEnd"/>
      <w:r w:rsidRPr="00B964DD">
        <w:rPr>
          <w:rFonts w:asciiTheme="majorBidi" w:hAnsiTheme="majorBidi" w:cstheme="majorBidi"/>
          <w:sz w:val="16"/>
          <w:szCs w:val="16"/>
        </w:rPr>
        <w:t xml:space="preserve">/ml difference between the two groups for MDA at the beginning of study, which was not statistically significant (p=0.078) whereas, it was increased to 24.8 </w:t>
      </w:r>
      <w:proofErr w:type="spellStart"/>
      <w:r w:rsidRPr="00B964DD">
        <w:rPr>
          <w:rFonts w:asciiTheme="majorBidi" w:hAnsiTheme="majorBidi" w:cstheme="majorBidi"/>
          <w:sz w:val="16"/>
          <w:szCs w:val="16"/>
        </w:rPr>
        <w:t>nmol</w:t>
      </w:r>
      <w:proofErr w:type="spellEnd"/>
      <w:r w:rsidRPr="00B964DD">
        <w:rPr>
          <w:rFonts w:asciiTheme="majorBidi" w:hAnsiTheme="majorBidi" w:cstheme="majorBidi"/>
          <w:sz w:val="16"/>
          <w:szCs w:val="16"/>
        </w:rPr>
        <w:t xml:space="preserve">/ml after the intervention, indicating a significant difference (p&lt;0.001). The decline value was </w:t>
      </w:r>
      <w:proofErr w:type="gramStart"/>
      <w:r w:rsidRPr="00B964DD">
        <w:rPr>
          <w:rFonts w:asciiTheme="majorBidi" w:hAnsiTheme="majorBidi" w:cstheme="majorBidi"/>
          <w:sz w:val="16"/>
          <w:szCs w:val="16"/>
        </w:rPr>
        <w:t xml:space="preserve">estimated -45.45 ± 14.69 </w:t>
      </w:r>
      <w:proofErr w:type="spellStart"/>
      <w:r w:rsidRPr="00B964DD">
        <w:rPr>
          <w:rFonts w:asciiTheme="majorBidi" w:hAnsiTheme="majorBidi" w:cstheme="majorBidi"/>
          <w:sz w:val="16"/>
          <w:szCs w:val="16"/>
        </w:rPr>
        <w:t>nmol</w:t>
      </w:r>
      <w:proofErr w:type="spellEnd"/>
      <w:r w:rsidRPr="00B964DD">
        <w:rPr>
          <w:rFonts w:asciiTheme="majorBidi" w:hAnsiTheme="majorBidi" w:cstheme="majorBidi"/>
          <w:sz w:val="16"/>
          <w:szCs w:val="16"/>
        </w:rPr>
        <w:t xml:space="preserve">/ml for </w:t>
      </w:r>
      <w:proofErr w:type="spellStart"/>
      <w:r w:rsidRPr="00B964DD">
        <w:rPr>
          <w:rFonts w:asciiTheme="majorBidi" w:hAnsiTheme="majorBidi" w:cstheme="majorBidi"/>
          <w:sz w:val="16"/>
          <w:szCs w:val="16"/>
        </w:rPr>
        <w:t>catechin</w:t>
      </w:r>
      <w:proofErr w:type="spellEnd"/>
      <w:r w:rsidRPr="00B964DD">
        <w:rPr>
          <w:rFonts w:asciiTheme="majorBidi" w:hAnsiTheme="majorBidi" w:cstheme="majorBidi"/>
          <w:sz w:val="16"/>
          <w:szCs w:val="16"/>
        </w:rPr>
        <w:t xml:space="preserve"> group</w:t>
      </w:r>
      <w:proofErr w:type="gramEnd"/>
      <w:r w:rsidRPr="00B964DD">
        <w:rPr>
          <w:rFonts w:asciiTheme="majorBidi" w:hAnsiTheme="majorBidi" w:cstheme="majorBidi"/>
          <w:sz w:val="16"/>
          <w:szCs w:val="16"/>
        </w:rPr>
        <w:t xml:space="preserve"> and -19.91 ± 18.38 </w:t>
      </w:r>
      <w:proofErr w:type="spellStart"/>
      <w:r w:rsidRPr="00B964DD">
        <w:rPr>
          <w:rFonts w:asciiTheme="majorBidi" w:hAnsiTheme="majorBidi" w:cstheme="majorBidi"/>
          <w:sz w:val="16"/>
          <w:szCs w:val="16"/>
        </w:rPr>
        <w:t>nmol</w:t>
      </w:r>
      <w:proofErr w:type="spellEnd"/>
      <w:r w:rsidRPr="00B964DD">
        <w:rPr>
          <w:rFonts w:asciiTheme="majorBidi" w:hAnsiTheme="majorBidi" w:cstheme="majorBidi"/>
          <w:sz w:val="16"/>
          <w:szCs w:val="16"/>
        </w:rPr>
        <w:t xml:space="preserve">/ml for placebo group. In conclusion green tea can systematically reduce the inflammatory elements and oxidants (decrease of MDA as fatty acids oxidation indicator), and consequently, can improve the hematopoiesis and hemoglobin level. Therefore, localized inflammation and damage in the lung is reduced, and adjunct to antimicrobial therapy, accelerate sputum smear conversion, disease amelioration and treatment improvement. Finally, given the higher iron intake despite of lower micronutrients and macronutrients in diet of our patients, and considering the iron effect on mycobacterium survival and the incidence and exacerbation of inflammatory complications in patients, it seems that policy of mandatory flour fortification with iron, especially in provinces such as </w:t>
      </w:r>
      <w:proofErr w:type="spellStart"/>
      <w:r w:rsidRPr="00B964DD">
        <w:rPr>
          <w:rFonts w:asciiTheme="majorBidi" w:hAnsiTheme="majorBidi" w:cstheme="majorBidi"/>
          <w:sz w:val="16"/>
          <w:szCs w:val="16"/>
        </w:rPr>
        <w:t>Golestan</w:t>
      </w:r>
      <w:proofErr w:type="spellEnd"/>
      <w:r w:rsidRPr="00B964DD">
        <w:rPr>
          <w:rFonts w:asciiTheme="majorBidi" w:hAnsiTheme="majorBidi" w:cstheme="majorBidi"/>
          <w:sz w:val="16"/>
          <w:szCs w:val="16"/>
        </w:rPr>
        <w:t>, must be viewed cautiously and its further implementation being revised meticulously.</w:t>
      </w:r>
      <w:r w:rsidR="00F203E8">
        <w:rPr>
          <w:i/>
          <w:iCs/>
          <w:sz w:val="16"/>
          <w:szCs w:val="16"/>
          <w:lang w:eastAsia="zh-CN"/>
        </w:rPr>
        <w:t xml:space="preserve">  </w:t>
      </w:r>
    </w:p>
    <w:p w:rsidR="00E66854" w:rsidRPr="00D3129B" w:rsidRDefault="00B964DD" w:rsidP="00E66854">
      <w:pPr>
        <w:rPr>
          <w:rFonts w:ascii="Adobe Caslon Pro" w:hAnsi="Adobe Caslon Pro" w:cs="Adobe Caslon Pro"/>
          <w:color w:val="000000"/>
          <w:sz w:val="16"/>
          <w:szCs w:val="16"/>
        </w:rPr>
      </w:pPr>
      <w:r w:rsidRPr="00D3129B">
        <w:rPr>
          <w:rFonts w:ascii="Times New Roman" w:eastAsia="Times New Roman" w:hAnsi="Times New Roman" w:cs="Times New Roman"/>
          <w:b/>
          <w:bCs/>
          <w:sz w:val="16"/>
          <w:szCs w:val="16"/>
        </w:rPr>
        <w:t>Biography:</w:t>
      </w:r>
      <w:r w:rsidRPr="00D3129B">
        <w:rPr>
          <w:rFonts w:cs="Adobe Caslon Pro Bold"/>
          <w:b/>
          <w:bCs/>
          <w:color w:val="000000"/>
          <w:sz w:val="16"/>
          <w:szCs w:val="16"/>
        </w:rPr>
        <w:t xml:space="preserve"> </w:t>
      </w:r>
      <w:r w:rsidRPr="00D3129B">
        <w:rPr>
          <w:rFonts w:ascii="Adobe Caslon Pro" w:hAnsi="Adobe Caslon Pro" w:cs="Adobe Caslon Pro"/>
          <w:color w:val="000000"/>
          <w:sz w:val="16"/>
          <w:szCs w:val="16"/>
        </w:rPr>
        <w:t xml:space="preserve">Dr. Shahryar </w:t>
      </w:r>
      <w:proofErr w:type="spellStart"/>
      <w:r w:rsidRPr="00D3129B">
        <w:rPr>
          <w:rFonts w:ascii="Adobe Caslon Pro" w:hAnsi="Adobe Caslon Pro" w:cs="Adobe Caslon Pro"/>
          <w:color w:val="000000"/>
          <w:sz w:val="16"/>
          <w:szCs w:val="16"/>
        </w:rPr>
        <w:t>Eghtesadi</w:t>
      </w:r>
      <w:proofErr w:type="spellEnd"/>
      <w:r w:rsidRPr="00D3129B">
        <w:rPr>
          <w:rFonts w:ascii="Adobe Caslon Pro" w:hAnsi="Adobe Caslon Pro" w:cs="Adobe Caslon Pro"/>
          <w:color w:val="000000"/>
          <w:sz w:val="16"/>
          <w:szCs w:val="16"/>
        </w:rPr>
        <w:t xml:space="preserve">  received Bachelor degree in Nutrition Science and Food Chemistry 1975, from </w:t>
      </w:r>
      <w:proofErr w:type="spellStart"/>
      <w:r w:rsidRPr="00D3129B">
        <w:rPr>
          <w:rFonts w:ascii="Adobe Caslon Pro" w:hAnsi="Adobe Caslon Pro" w:cs="Adobe Caslon Pro"/>
          <w:color w:val="000000"/>
          <w:sz w:val="16"/>
          <w:szCs w:val="16"/>
        </w:rPr>
        <w:t>Shahid</w:t>
      </w:r>
      <w:proofErr w:type="spellEnd"/>
      <w:r w:rsidRPr="00D3129B">
        <w:rPr>
          <w:rFonts w:ascii="Adobe Caslon Pro" w:hAnsi="Adobe Caslon Pro" w:cs="Adobe Caslon Pro"/>
          <w:color w:val="000000"/>
          <w:sz w:val="16"/>
          <w:szCs w:val="16"/>
        </w:rPr>
        <w:t xml:space="preserve"> </w:t>
      </w:r>
      <w:proofErr w:type="spellStart"/>
      <w:r w:rsidRPr="00D3129B">
        <w:rPr>
          <w:rFonts w:ascii="Adobe Caslon Pro" w:hAnsi="Adobe Caslon Pro" w:cs="Adobe Caslon Pro"/>
          <w:color w:val="000000"/>
          <w:sz w:val="16"/>
          <w:szCs w:val="16"/>
        </w:rPr>
        <w:t>Beheshti</w:t>
      </w:r>
      <w:proofErr w:type="spellEnd"/>
      <w:r w:rsidRPr="00D3129B">
        <w:rPr>
          <w:rFonts w:ascii="Adobe Caslon Pro" w:hAnsi="Adobe Caslon Pro" w:cs="Adobe Caslon Pro"/>
          <w:color w:val="000000"/>
          <w:sz w:val="16"/>
          <w:szCs w:val="16"/>
        </w:rPr>
        <w:t xml:space="preserve"> University of Medical Sciences, Tehran; MSPH degree in Nutrition, 1977, from Tehran University of Medical Sciences, Tehran and PhD from University of  California at Davis(UCD), USA, in Nutrition (1985). </w:t>
      </w:r>
      <w:proofErr w:type="gramStart"/>
      <w:r w:rsidRPr="00D3129B">
        <w:rPr>
          <w:rFonts w:ascii="Adobe Caslon Pro" w:hAnsi="Adobe Caslon Pro" w:cs="Adobe Caslon Pro"/>
          <w:color w:val="000000"/>
          <w:sz w:val="16"/>
          <w:szCs w:val="16"/>
        </w:rPr>
        <w:t>He  served</w:t>
      </w:r>
      <w:proofErr w:type="gramEnd"/>
      <w:r w:rsidRPr="00D3129B">
        <w:rPr>
          <w:rFonts w:ascii="Adobe Caslon Pro" w:hAnsi="Adobe Caslon Pro" w:cs="Adobe Caslon Pro"/>
          <w:color w:val="000000"/>
          <w:sz w:val="16"/>
          <w:szCs w:val="16"/>
        </w:rPr>
        <w:t xml:space="preserve"> as Visiting Scientist in USDA Human Nutrition Research Center on Aging (HNRCA), at Tufts University ,Boston, USA (1994-1995); Full professor of Tabriz, Iran and Tehran Universities of Medical Sciences and currently serves  as Professor of Azad Univer</w:t>
      </w:r>
      <w:r w:rsidR="006F2DF7">
        <w:rPr>
          <w:rFonts w:ascii="Adobe Caslon Pro" w:hAnsi="Adobe Caslon Pro" w:cs="Adobe Caslon Pro"/>
          <w:color w:val="000000"/>
          <w:sz w:val="16"/>
          <w:szCs w:val="16"/>
        </w:rPr>
        <w:t>sity, Science &amp; Research Branch</w:t>
      </w:r>
      <w:r w:rsidRPr="00D3129B">
        <w:rPr>
          <w:rFonts w:ascii="Adobe Caslon Pro" w:hAnsi="Adobe Caslon Pro" w:cs="Adobe Caslon Pro"/>
          <w:color w:val="000000"/>
          <w:sz w:val="16"/>
          <w:szCs w:val="16"/>
        </w:rPr>
        <w:t xml:space="preserve"> . </w:t>
      </w:r>
      <w:proofErr w:type="gramStart"/>
      <w:r w:rsidRPr="00D3129B">
        <w:rPr>
          <w:rFonts w:ascii="Adobe Caslon Pro" w:hAnsi="Adobe Caslon Pro" w:cs="Adobe Caslon Pro"/>
          <w:color w:val="000000"/>
          <w:sz w:val="16"/>
          <w:szCs w:val="16"/>
        </w:rPr>
        <w:t>He  was</w:t>
      </w:r>
      <w:proofErr w:type="gramEnd"/>
      <w:r w:rsidRPr="00D3129B">
        <w:rPr>
          <w:rFonts w:ascii="Adobe Caslon Pro" w:hAnsi="Adobe Caslon Pro" w:cs="Adobe Caslon Pro"/>
          <w:color w:val="000000"/>
          <w:sz w:val="16"/>
          <w:szCs w:val="16"/>
        </w:rPr>
        <w:t xml:space="preserve"> the chairs of Departments of Nutrition and Biochemistry, Biochemistry &amp; Clinical Nutrition, Public Health Nutrition and Nutrition  in aforementioned Universities. Also Served as Associate Dean and Dean </w:t>
      </w:r>
      <w:proofErr w:type="gramStart"/>
      <w:r w:rsidRPr="00D3129B">
        <w:rPr>
          <w:rFonts w:ascii="Adobe Caslon Pro" w:hAnsi="Adobe Caslon Pro" w:cs="Adobe Caslon Pro"/>
          <w:color w:val="000000"/>
          <w:sz w:val="16"/>
          <w:szCs w:val="16"/>
        </w:rPr>
        <w:t>of  School</w:t>
      </w:r>
      <w:proofErr w:type="gramEnd"/>
      <w:r w:rsidRPr="00D3129B">
        <w:rPr>
          <w:rFonts w:ascii="Adobe Caslon Pro" w:hAnsi="Adobe Caslon Pro" w:cs="Adobe Caslon Pro"/>
          <w:color w:val="000000"/>
          <w:sz w:val="16"/>
          <w:szCs w:val="16"/>
        </w:rPr>
        <w:t xml:space="preserve"> of Public Health &amp; Nutrition and School of Public Health of  Tabriz and Iran Universities of Medical Sciences </w:t>
      </w:r>
      <w:proofErr w:type="spellStart"/>
      <w:r w:rsidRPr="00D3129B">
        <w:rPr>
          <w:rFonts w:ascii="Adobe Caslon Pro" w:hAnsi="Adobe Caslon Pro" w:cs="Adobe Caslon Pro"/>
          <w:color w:val="000000"/>
          <w:sz w:val="16"/>
          <w:szCs w:val="16"/>
        </w:rPr>
        <w:t>respectively.He</w:t>
      </w:r>
      <w:proofErr w:type="spellEnd"/>
      <w:r w:rsidRPr="00D3129B">
        <w:rPr>
          <w:rFonts w:ascii="Adobe Caslon Pro" w:hAnsi="Adobe Caslon Pro" w:cs="Adobe Caslon Pro"/>
          <w:color w:val="000000"/>
          <w:sz w:val="16"/>
          <w:szCs w:val="16"/>
        </w:rPr>
        <w:t xml:space="preserve"> was selected as distinguished professor and Scientist in preceding  universities. For long and </w:t>
      </w:r>
      <w:proofErr w:type="gramStart"/>
      <w:r w:rsidRPr="00D3129B">
        <w:rPr>
          <w:rFonts w:ascii="Adobe Caslon Pro" w:hAnsi="Adobe Caslon Pro" w:cs="Adobe Caslon Pro"/>
          <w:color w:val="000000"/>
          <w:sz w:val="16"/>
          <w:szCs w:val="16"/>
        </w:rPr>
        <w:t>extended  period</w:t>
      </w:r>
      <w:proofErr w:type="gramEnd"/>
      <w:r w:rsidRPr="00D3129B">
        <w:rPr>
          <w:rFonts w:ascii="Adobe Caslon Pro" w:hAnsi="Adobe Caslon Pro" w:cs="Adobe Caslon Pro"/>
          <w:color w:val="000000"/>
          <w:sz w:val="16"/>
          <w:szCs w:val="16"/>
        </w:rPr>
        <w:t xml:space="preserve"> of time, experienced  teaching various courses in nutrition in undergraduate, graduate and postgraduate and  international Bureau  programs and directed  many projects and dissertations of MS and PhD programs and Published numerous peer reviewed articles in journals and also edited several books and finally served as Principal Investigator of World Bank Project for Capacity Building in Nutrition in</w:t>
      </w:r>
      <w:r w:rsidR="00E66854" w:rsidRPr="00D3129B">
        <w:rPr>
          <w:rFonts w:ascii="Adobe Caslon Pro" w:hAnsi="Adobe Caslon Pro" w:cs="Adobe Caslon Pro"/>
          <w:color w:val="000000"/>
          <w:sz w:val="16"/>
          <w:szCs w:val="16"/>
        </w:rPr>
        <w:t xml:space="preserve"> Iran.</w:t>
      </w:r>
    </w:p>
    <w:p w:rsidR="00B964DD" w:rsidRPr="00E66854" w:rsidRDefault="00E66582" w:rsidP="00B86D83">
      <w:pPr>
        <w:rPr>
          <w:rFonts w:ascii="Adobe Caslon Pro" w:hAnsi="Adobe Caslon Pro" w:cs="Adobe Caslon Pro"/>
          <w:color w:val="000000"/>
          <w:sz w:val="16"/>
          <w:szCs w:val="16"/>
        </w:rPr>
      </w:pPr>
      <w:r>
        <w:rPr>
          <w:rFonts w:ascii="Adobe Caslon Pro" w:hAnsi="Adobe Caslon Pro" w:cs="Adobe Caslon Pro"/>
          <w:color w:val="000000"/>
          <w:sz w:val="16"/>
          <w:szCs w:val="16"/>
        </w:rPr>
        <w:t>Presenting author detail</w:t>
      </w:r>
      <w:r w:rsidR="009F7EB0">
        <w:rPr>
          <w:rFonts w:ascii="Adobe Caslon Pro" w:hAnsi="Adobe Caslon Pro" w:cs="Adobe Caslon Pro"/>
          <w:color w:val="000000"/>
          <w:sz w:val="16"/>
          <w:szCs w:val="16"/>
        </w:rPr>
        <w:t>s</w:t>
      </w:r>
      <w:r>
        <w:rPr>
          <w:rFonts w:ascii="Adobe Caslon Pro" w:hAnsi="Adobe Caslon Pro" w:cs="Adobe Caslon Pro"/>
          <w:color w:val="000000"/>
          <w:sz w:val="16"/>
          <w:szCs w:val="16"/>
        </w:rPr>
        <w:t xml:space="preserve">: Full name: Shahryar </w:t>
      </w:r>
      <w:proofErr w:type="spellStart"/>
      <w:r>
        <w:rPr>
          <w:rFonts w:ascii="Adobe Caslon Pro" w:hAnsi="Adobe Caslon Pro" w:cs="Adobe Caslon Pro"/>
          <w:color w:val="000000"/>
          <w:sz w:val="16"/>
          <w:szCs w:val="16"/>
        </w:rPr>
        <w:t>Eghtesadi</w:t>
      </w:r>
      <w:proofErr w:type="spellEnd"/>
      <w:r>
        <w:rPr>
          <w:rFonts w:ascii="Adobe Caslon Pro" w:hAnsi="Adobe Caslon Pro" w:cs="Adobe Caslon Pro"/>
          <w:color w:val="000000"/>
          <w:sz w:val="16"/>
          <w:szCs w:val="16"/>
        </w:rPr>
        <w:t>, Contact Number</w:t>
      </w:r>
      <w:proofErr w:type="gramStart"/>
      <w:r>
        <w:rPr>
          <w:rFonts w:ascii="Adobe Caslon Pro" w:hAnsi="Adobe Caslon Pro" w:cs="Adobe Caslon Pro"/>
          <w:color w:val="000000"/>
          <w:sz w:val="16"/>
          <w:szCs w:val="16"/>
        </w:rPr>
        <w:t>:00989</w:t>
      </w:r>
      <w:r w:rsidR="009F7EB0">
        <w:rPr>
          <w:rFonts w:ascii="Adobe Caslon Pro" w:hAnsi="Adobe Caslon Pro" w:cs="Adobe Caslon Pro"/>
          <w:color w:val="000000"/>
          <w:sz w:val="16"/>
          <w:szCs w:val="16"/>
        </w:rPr>
        <w:t>122789412</w:t>
      </w:r>
      <w:proofErr w:type="gramEnd"/>
      <w:r w:rsidR="009F7EB0">
        <w:rPr>
          <w:rFonts w:ascii="Adobe Caslon Pro" w:hAnsi="Adobe Caslon Pro" w:cs="Adobe Caslon Pro"/>
          <w:color w:val="000000"/>
          <w:sz w:val="16"/>
          <w:szCs w:val="16"/>
        </w:rPr>
        <w:t xml:space="preserve">, Session </w:t>
      </w:r>
      <w:proofErr w:type="spellStart"/>
      <w:r w:rsidR="009F7EB0">
        <w:rPr>
          <w:rFonts w:ascii="Adobe Caslon Pro" w:hAnsi="Adobe Caslon Pro" w:cs="Adobe Caslon Pro"/>
          <w:color w:val="000000"/>
          <w:sz w:val="16"/>
          <w:szCs w:val="16"/>
        </w:rPr>
        <w:t>name:Pulmonary</w:t>
      </w:r>
      <w:proofErr w:type="spellEnd"/>
      <w:r w:rsidR="009F7EB0">
        <w:rPr>
          <w:rFonts w:ascii="Adobe Caslon Pro" w:hAnsi="Adobe Caslon Pro" w:cs="Adobe Caslon Pro"/>
          <w:color w:val="000000"/>
          <w:sz w:val="16"/>
          <w:szCs w:val="16"/>
        </w:rPr>
        <w:t xml:space="preserve"> Pathology/15, </w:t>
      </w:r>
      <w:r>
        <w:rPr>
          <w:rFonts w:ascii="Adobe Caslon Pro" w:hAnsi="Adobe Caslon Pro" w:cs="Adobe Caslon Pro"/>
          <w:color w:val="000000"/>
          <w:sz w:val="16"/>
          <w:szCs w:val="16"/>
        </w:rPr>
        <w:t xml:space="preserve"> </w:t>
      </w:r>
      <w:proofErr w:type="spellStart"/>
      <w:r>
        <w:rPr>
          <w:rFonts w:ascii="Adobe Caslon Pro" w:hAnsi="Adobe Caslon Pro" w:cs="Adobe Caslon Pro"/>
          <w:color w:val="000000"/>
          <w:sz w:val="16"/>
          <w:szCs w:val="16"/>
        </w:rPr>
        <w:t>Cateo</w:t>
      </w:r>
      <w:r w:rsidR="00AD18FA">
        <w:rPr>
          <w:rFonts w:ascii="Adobe Caslon Pro" w:hAnsi="Adobe Caslon Pro" w:cs="Adobe Caslon Pro"/>
          <w:color w:val="000000"/>
          <w:sz w:val="16"/>
          <w:szCs w:val="16"/>
        </w:rPr>
        <w:t>ry:Oral</w:t>
      </w:r>
      <w:proofErr w:type="spellEnd"/>
      <w:r w:rsidR="00AD18FA">
        <w:rPr>
          <w:rFonts w:ascii="Adobe Caslon Pro" w:hAnsi="Adobe Caslon Pro" w:cs="Adobe Caslon Pro"/>
          <w:color w:val="000000"/>
          <w:sz w:val="16"/>
          <w:szCs w:val="16"/>
        </w:rPr>
        <w:t xml:space="preserve"> Presentation, </w:t>
      </w:r>
      <w:r w:rsidR="00421C83">
        <w:rPr>
          <w:noProof/>
          <w:sz w:val="16"/>
          <w:szCs w:val="16"/>
        </w:rPr>
        <w:t xml:space="preserve">                                                                                                                                                                                                  </w:t>
      </w:r>
    </w:p>
    <w:p w:rsidR="00B964DD" w:rsidRPr="00B964DD" w:rsidRDefault="00E66582" w:rsidP="00B964DD">
      <w:pPr>
        <w:rPr>
          <w:sz w:val="16"/>
          <w:szCs w:val="16"/>
        </w:rPr>
      </w:pPr>
      <w:r>
        <w:rPr>
          <w:sz w:val="16"/>
          <w:szCs w:val="16"/>
        </w:rPr>
        <w:lastRenderedPageBreak/>
        <w:t xml:space="preserve"> </w:t>
      </w:r>
    </w:p>
    <w:p w:rsidR="002039F2" w:rsidRDefault="002039F2"/>
    <w:sectPr w:rsidR="002039F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Zar">
    <w:altName w:val="Courier New"/>
    <w:charset w:val="B2"/>
    <w:family w:val="auto"/>
    <w:pitch w:val="variable"/>
    <w:sig w:usb0="00002000" w:usb1="00000000" w:usb2="00000000" w:usb3="00000000" w:csb0="00000040" w:csb1="00000000"/>
  </w:font>
  <w:font w:name="B Nazanin">
    <w:altName w:val="Courier New"/>
    <w:charset w:val="B2"/>
    <w:family w:val="auto"/>
    <w:pitch w:val="variable"/>
    <w:sig w:usb0="00002001" w:usb1="80000000" w:usb2="00000008" w:usb3="00000000" w:csb0="00000040" w:csb1="00000000"/>
  </w:font>
  <w:font w:name="Adobe Caslon Pro">
    <w:altName w:val="Adobe Caslon Pro"/>
    <w:panose1 w:val="00000000000000000000"/>
    <w:charset w:val="00"/>
    <w:family w:val="roman"/>
    <w:notTrueType/>
    <w:pitch w:val="default"/>
    <w:sig w:usb0="00000003" w:usb1="00000000" w:usb2="00000000" w:usb3="00000000" w:csb0="00000001" w:csb1="00000000"/>
  </w:font>
  <w:font w:name="Adobe Caslon Pro Bold">
    <w:altName w:val="Adobe Caslon Pro Bold"/>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964DD"/>
    <w:rsid w:val="00075C3D"/>
    <w:rsid w:val="000B7943"/>
    <w:rsid w:val="00100B67"/>
    <w:rsid w:val="00122671"/>
    <w:rsid w:val="002039F2"/>
    <w:rsid w:val="00233595"/>
    <w:rsid w:val="00295680"/>
    <w:rsid w:val="00297373"/>
    <w:rsid w:val="002E3AD5"/>
    <w:rsid w:val="003E6239"/>
    <w:rsid w:val="004054EB"/>
    <w:rsid w:val="00421C83"/>
    <w:rsid w:val="004D7987"/>
    <w:rsid w:val="0052127F"/>
    <w:rsid w:val="006A0C16"/>
    <w:rsid w:val="006F2DF7"/>
    <w:rsid w:val="00814718"/>
    <w:rsid w:val="008232AC"/>
    <w:rsid w:val="00850C25"/>
    <w:rsid w:val="00883A2F"/>
    <w:rsid w:val="00980309"/>
    <w:rsid w:val="009F7EB0"/>
    <w:rsid w:val="00A3701F"/>
    <w:rsid w:val="00AD18FA"/>
    <w:rsid w:val="00B86D83"/>
    <w:rsid w:val="00B964DD"/>
    <w:rsid w:val="00D3129B"/>
    <w:rsid w:val="00E66582"/>
    <w:rsid w:val="00E66854"/>
    <w:rsid w:val="00E83EBD"/>
    <w:rsid w:val="00E95ACA"/>
    <w:rsid w:val="00F203E8"/>
    <w:rsid w:val="00F34B7E"/>
    <w:rsid w:val="00F84AB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964D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964D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964D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964D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1030</Words>
  <Characters>5873</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scc</dc:creator>
  <cp:lastModifiedBy>scc</cp:lastModifiedBy>
  <cp:revision>2</cp:revision>
  <cp:lastPrinted>2019-12-13T20:43:00Z</cp:lastPrinted>
  <dcterms:created xsi:type="dcterms:W3CDTF">2020-02-28T22:30:00Z</dcterms:created>
  <dcterms:modified xsi:type="dcterms:W3CDTF">2020-02-28T22:30:00Z</dcterms:modified>
</cp:coreProperties>
</file>