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1A8" w:rsidRPr="00560223" w:rsidRDefault="003271A8" w:rsidP="00560223">
      <w:pPr>
        <w:pStyle w:val="Heading1"/>
        <w:spacing w:before="0"/>
        <w:jc w:val="center"/>
        <w:rPr>
          <w:rFonts w:ascii="Times New Roman" w:hAnsi="Times New Roman" w:cs="Times New Roman"/>
          <w:bCs w:val="0"/>
          <w:color w:val="000000" w:themeColor="text1"/>
          <w:szCs w:val="24"/>
        </w:rPr>
      </w:pPr>
      <w:r w:rsidRPr="00560223">
        <w:rPr>
          <w:rFonts w:ascii="Times New Roman" w:hAnsi="Times New Roman" w:cs="Times New Roman"/>
          <w:color w:val="000000" w:themeColor="text1"/>
          <w:szCs w:val="24"/>
        </w:rPr>
        <w:t>Cross-Sectional Retrospective Study on Clinicocytologic</w:t>
      </w:r>
      <w:r w:rsidR="00CD4291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560223">
        <w:rPr>
          <w:rFonts w:ascii="Times New Roman" w:hAnsi="Times New Roman" w:cs="Times New Roman"/>
          <w:color w:val="000000" w:themeColor="text1"/>
          <w:szCs w:val="24"/>
        </w:rPr>
        <w:t xml:space="preserve">Characterization </w:t>
      </w:r>
      <w:r w:rsidR="00284A1B" w:rsidRPr="00560223">
        <w:rPr>
          <w:rFonts w:ascii="Times New Roman" w:hAnsi="Times New Roman" w:cs="Times New Roman"/>
          <w:color w:val="000000" w:themeColor="text1"/>
          <w:szCs w:val="24"/>
        </w:rPr>
        <w:t>of</w:t>
      </w:r>
      <w:r w:rsidRPr="00560223">
        <w:rPr>
          <w:rFonts w:ascii="Times New Roman" w:hAnsi="Times New Roman" w:cs="Times New Roman"/>
          <w:color w:val="000000" w:themeColor="text1"/>
          <w:szCs w:val="24"/>
        </w:rPr>
        <w:t xml:space="preserve"> Lymphadenopathy In Ayder Comprehensive Specialized Hospital</w:t>
      </w:r>
    </w:p>
    <w:p w:rsidR="003271A8" w:rsidRPr="00560223" w:rsidRDefault="001768E2" w:rsidP="00560223">
      <w:pPr>
        <w:tabs>
          <w:tab w:val="left" w:pos="3852"/>
        </w:tabs>
        <w:spacing w:after="0" w:line="360" w:lineRule="auto"/>
        <w:jc w:val="center"/>
        <w:rPr>
          <w:bCs/>
          <w:color w:val="000000" w:themeColor="text1"/>
          <w:sz w:val="24"/>
          <w:szCs w:val="24"/>
        </w:rPr>
      </w:pPr>
      <w:r w:rsidRPr="00560223">
        <w:rPr>
          <w:bCs/>
          <w:color w:val="000000" w:themeColor="text1"/>
          <w:sz w:val="24"/>
          <w:szCs w:val="24"/>
        </w:rPr>
        <w:t>Bekalu M</w:t>
      </w:r>
      <w:r w:rsidR="0047262C" w:rsidRPr="00560223">
        <w:rPr>
          <w:bCs/>
          <w:color w:val="000000" w:themeColor="text1"/>
          <w:sz w:val="24"/>
          <w:szCs w:val="24"/>
        </w:rPr>
        <w:t>olla</w:t>
      </w:r>
      <w:r w:rsidR="0047262C" w:rsidRPr="00560223">
        <w:rPr>
          <w:bCs/>
          <w:color w:val="000000" w:themeColor="text1"/>
          <w:sz w:val="24"/>
          <w:szCs w:val="24"/>
          <w:vertAlign w:val="superscript"/>
        </w:rPr>
        <w:t>1&amp;2</w:t>
      </w:r>
      <w:r w:rsidR="00782C08" w:rsidRPr="00560223">
        <w:rPr>
          <w:bCs/>
          <w:color w:val="000000" w:themeColor="text1"/>
          <w:sz w:val="24"/>
          <w:szCs w:val="24"/>
        </w:rPr>
        <w:t xml:space="preserve"> (</w:t>
      </w:r>
      <w:r w:rsidR="00B3292B" w:rsidRPr="00560223">
        <w:rPr>
          <w:bCs/>
          <w:color w:val="000000" w:themeColor="text1"/>
          <w:sz w:val="24"/>
          <w:szCs w:val="24"/>
        </w:rPr>
        <w:t>MD,</w:t>
      </w:r>
      <w:r w:rsidRPr="00560223">
        <w:rPr>
          <w:bCs/>
          <w:color w:val="000000" w:themeColor="text1"/>
          <w:sz w:val="24"/>
          <w:szCs w:val="24"/>
        </w:rPr>
        <w:t xml:space="preserve"> Pathologist</w:t>
      </w:r>
      <w:r w:rsidR="00B3292B" w:rsidRPr="00560223">
        <w:rPr>
          <w:bCs/>
          <w:color w:val="000000" w:themeColor="text1"/>
          <w:sz w:val="24"/>
          <w:szCs w:val="24"/>
        </w:rPr>
        <w:t>)</w:t>
      </w:r>
      <w:r w:rsidR="00560223" w:rsidRPr="00560223">
        <w:rPr>
          <w:bCs/>
          <w:color w:val="000000" w:themeColor="text1"/>
          <w:sz w:val="24"/>
          <w:szCs w:val="24"/>
        </w:rPr>
        <w:t xml:space="preserve">, </w:t>
      </w:r>
      <w:r w:rsidR="00560223" w:rsidRPr="00560223">
        <w:rPr>
          <w:color w:val="000000" w:themeColor="text1"/>
          <w:sz w:val="24"/>
          <w:szCs w:val="24"/>
        </w:rPr>
        <w:t>Melisachew Mulatu</w:t>
      </w:r>
      <w:r w:rsidR="00560223" w:rsidRPr="00560223">
        <w:rPr>
          <w:color w:val="000000" w:themeColor="text1"/>
          <w:sz w:val="24"/>
          <w:szCs w:val="24"/>
          <w:vertAlign w:val="superscript"/>
        </w:rPr>
        <w:t>1</w:t>
      </w:r>
      <w:r w:rsidR="00560223" w:rsidRPr="00560223">
        <w:rPr>
          <w:color w:val="000000" w:themeColor="text1"/>
          <w:sz w:val="24"/>
          <w:szCs w:val="24"/>
        </w:rPr>
        <w:t>, (MD, AP Cytopathologist Associate Professor of Pathology President of Ethiopian Society of Pathology)</w:t>
      </w:r>
    </w:p>
    <w:p w:rsidR="001C392F" w:rsidRPr="00560223" w:rsidRDefault="00560223" w:rsidP="00560223">
      <w:pPr>
        <w:pStyle w:val="Heading1"/>
        <w:spacing w:before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1. Mekelle University</w:t>
      </w:r>
      <w:r w:rsidR="001C392F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Ayder Referral Hospital</w:t>
      </w:r>
      <w:r w:rsidR="00782C08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, Mekelle, Ethiopia</w:t>
      </w:r>
    </w:p>
    <w:p w:rsidR="00560223" w:rsidRPr="00560223" w:rsidRDefault="009F0C02" w:rsidP="00560223">
      <w:pPr>
        <w:tabs>
          <w:tab w:val="left" w:pos="3852"/>
        </w:tabs>
        <w:spacing w:after="0"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</w:t>
      </w:r>
      <w:r w:rsidR="001C392F" w:rsidRPr="00560223">
        <w:rPr>
          <w:color w:val="000000" w:themeColor="text1"/>
          <w:sz w:val="24"/>
          <w:szCs w:val="24"/>
        </w:rPr>
        <w:t>2. Debremarkos R</w:t>
      </w:r>
      <w:r w:rsidR="00F052D2" w:rsidRPr="00560223">
        <w:rPr>
          <w:color w:val="000000" w:themeColor="text1"/>
          <w:sz w:val="24"/>
          <w:szCs w:val="24"/>
        </w:rPr>
        <w:t>eferral H</w:t>
      </w:r>
      <w:r w:rsidR="001C392F" w:rsidRPr="00560223">
        <w:rPr>
          <w:color w:val="000000" w:themeColor="text1"/>
          <w:sz w:val="24"/>
          <w:szCs w:val="24"/>
        </w:rPr>
        <w:t>ospital</w:t>
      </w:r>
      <w:r w:rsidR="0047262C" w:rsidRPr="00560223">
        <w:rPr>
          <w:color w:val="000000" w:themeColor="text1"/>
          <w:sz w:val="24"/>
          <w:szCs w:val="24"/>
        </w:rPr>
        <w:t>, Debremarkos, Ethiopia</w:t>
      </w:r>
    </w:p>
    <w:p w:rsidR="00560223" w:rsidRPr="00560223" w:rsidRDefault="00560223" w:rsidP="00560223">
      <w:pPr>
        <w:tabs>
          <w:tab w:val="left" w:pos="3852"/>
        </w:tabs>
        <w:spacing w:after="0" w:line="360" w:lineRule="auto"/>
        <w:jc w:val="center"/>
        <w:rPr>
          <w:caps/>
          <w:color w:val="000000" w:themeColor="text1"/>
          <w:sz w:val="24"/>
          <w:szCs w:val="24"/>
        </w:rPr>
      </w:pPr>
      <w:r w:rsidRPr="00560223">
        <w:rPr>
          <w:color w:val="000000" w:themeColor="text1"/>
          <w:sz w:val="24"/>
          <w:szCs w:val="24"/>
        </w:rPr>
        <w:t>Corresponding authors;bekalumolla35@gmail.com</w:t>
      </w:r>
    </w:p>
    <w:p w:rsidR="00560223" w:rsidRPr="00560223" w:rsidRDefault="00560223" w:rsidP="00560223">
      <w:pPr>
        <w:tabs>
          <w:tab w:val="left" w:pos="3852"/>
        </w:tabs>
        <w:spacing w:after="0" w:line="360" w:lineRule="auto"/>
        <w:jc w:val="center"/>
        <w:rPr>
          <w:bCs/>
          <w:color w:val="000000" w:themeColor="text1"/>
          <w:sz w:val="24"/>
          <w:szCs w:val="24"/>
        </w:rPr>
      </w:pPr>
      <w:r w:rsidRPr="00560223">
        <w:rPr>
          <w:color w:val="000000" w:themeColor="text1"/>
          <w:sz w:val="24"/>
          <w:szCs w:val="24"/>
        </w:rPr>
        <w:t>Phone number: +251911593620</w:t>
      </w:r>
      <w:bookmarkStart w:id="0" w:name="_GoBack"/>
      <w:bookmarkEnd w:id="0"/>
    </w:p>
    <w:p w:rsidR="006C6FCA" w:rsidRPr="00560223" w:rsidRDefault="001211FE" w:rsidP="00560223">
      <w:pPr>
        <w:pStyle w:val="Heading1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Back </w:t>
      </w:r>
      <w:r w:rsidR="00560223" w:rsidRPr="00560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ground; </w:t>
      </w:r>
      <w:r w:rsidR="00CB4478" w:rsidRPr="00560223">
        <w:rPr>
          <w:rFonts w:ascii="Times New Roman" w:hAnsi="Times New Roman" w:cs="Times New Roman"/>
          <w:b w:val="0"/>
          <w:iCs/>
          <w:color w:val="000000" w:themeColor="text1"/>
          <w:sz w:val="24"/>
          <w:szCs w:val="24"/>
        </w:rPr>
        <w:t xml:space="preserve">Lymphadenopathy is an abnormal increase in size and /or altered consistency of lymph nodes. Tuberculosisis the commonest cause of lymphadenopathy in developing countries like </w:t>
      </w:r>
      <w:r w:rsidR="00D34F7D" w:rsidRPr="00560223">
        <w:rPr>
          <w:rFonts w:ascii="Times New Roman" w:hAnsi="Times New Roman" w:cs="Times New Roman"/>
          <w:b w:val="0"/>
          <w:iCs/>
          <w:color w:val="000000" w:themeColor="text1"/>
          <w:sz w:val="24"/>
          <w:szCs w:val="24"/>
        </w:rPr>
        <w:t>Ethiopia</w:t>
      </w:r>
      <w:r w:rsidR="006C6FCA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ab/>
        <w:t>Fine-needle aspiration cytology (FNAC) is one of the diagnostic met</w:t>
      </w:r>
      <w:r w:rsidR="000E23E7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hods in pathology and used as a </w:t>
      </w:r>
      <w:r w:rsidR="006C6FCA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tool to obtain cells for the morphologica</w:t>
      </w:r>
      <w:r w:rsidR="00D34F7D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l diagnosis of numerous </w:t>
      </w:r>
      <w:r w:rsidR="000E23E7" w:rsidRPr="0056022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lesions.</w:t>
      </w:r>
    </w:p>
    <w:p w:rsidR="006C6FCA" w:rsidRPr="00560223" w:rsidRDefault="006C6FCA" w:rsidP="00560223">
      <w:pPr>
        <w:pStyle w:val="Default"/>
        <w:spacing w:line="276" w:lineRule="auto"/>
        <w:jc w:val="both"/>
        <w:rPr>
          <w:caps/>
          <w:color w:val="000000" w:themeColor="text1"/>
        </w:rPr>
      </w:pPr>
      <w:r w:rsidRPr="00560223">
        <w:rPr>
          <w:b/>
          <w:color w:val="000000" w:themeColor="text1"/>
        </w:rPr>
        <w:t>Objective</w:t>
      </w:r>
      <w:r w:rsidR="00CF0487" w:rsidRPr="00560223">
        <w:rPr>
          <w:color w:val="000000" w:themeColor="text1"/>
        </w:rPr>
        <w:t>- This</w:t>
      </w:r>
      <w:r w:rsidR="00D34F7D" w:rsidRPr="00560223">
        <w:rPr>
          <w:color w:val="000000" w:themeColor="text1"/>
        </w:rPr>
        <w:t xml:space="preserve"> study was undertaken to evaluate the</w:t>
      </w:r>
      <w:r w:rsidR="009F0C02">
        <w:rPr>
          <w:color w:val="000000" w:themeColor="text1"/>
        </w:rPr>
        <w:t xml:space="preserve"> </w:t>
      </w:r>
      <w:r w:rsidRPr="00560223">
        <w:rPr>
          <w:color w:val="000000" w:themeColor="text1"/>
        </w:rPr>
        <w:t>clinicocytologic characteristics of peripheral lymphadenopath</w:t>
      </w:r>
      <w:r w:rsidR="00D34F7D" w:rsidRPr="00560223">
        <w:rPr>
          <w:color w:val="000000" w:themeColor="text1"/>
        </w:rPr>
        <w:t>ies</w:t>
      </w:r>
    </w:p>
    <w:p w:rsidR="006C6FCA" w:rsidRPr="00560223" w:rsidRDefault="006C6FCA" w:rsidP="00560223">
      <w:pPr>
        <w:pStyle w:val="Default"/>
        <w:jc w:val="both"/>
        <w:rPr>
          <w:color w:val="000000" w:themeColor="text1"/>
        </w:rPr>
      </w:pPr>
      <w:r w:rsidRPr="00560223">
        <w:rPr>
          <w:b/>
          <w:color w:val="000000" w:themeColor="text1"/>
        </w:rPr>
        <w:t>Methodology</w:t>
      </w:r>
      <w:r w:rsidR="00107307" w:rsidRPr="00560223">
        <w:rPr>
          <w:b/>
          <w:color w:val="000000" w:themeColor="text1"/>
        </w:rPr>
        <w:t>-</w:t>
      </w:r>
      <w:r w:rsidR="00CF0487" w:rsidRPr="00560223">
        <w:rPr>
          <w:color w:val="000000" w:themeColor="text1"/>
        </w:rPr>
        <w:t xml:space="preserve"> All</w:t>
      </w:r>
      <w:r w:rsidR="00107307" w:rsidRPr="00560223">
        <w:rPr>
          <w:color w:val="000000" w:themeColor="text1"/>
        </w:rPr>
        <w:t xml:space="preserve"> 1500 cases were retrieved from </w:t>
      </w:r>
      <w:r w:rsidR="007C4936" w:rsidRPr="00560223">
        <w:rPr>
          <w:color w:val="000000" w:themeColor="text1"/>
        </w:rPr>
        <w:t>the Ayder</w:t>
      </w:r>
      <w:r w:rsidR="000E23E7" w:rsidRPr="00560223">
        <w:rPr>
          <w:color w:val="000000" w:themeColor="text1"/>
        </w:rPr>
        <w:t xml:space="preserve"> comprehensive teaching hospital </w:t>
      </w:r>
      <w:r w:rsidR="00107307" w:rsidRPr="00560223">
        <w:rPr>
          <w:color w:val="000000" w:themeColor="text1"/>
        </w:rPr>
        <w:t>record retrospectively from the patients who</w:t>
      </w:r>
      <w:r w:rsidR="000E524B" w:rsidRPr="00560223">
        <w:rPr>
          <w:color w:val="000000" w:themeColor="text1"/>
        </w:rPr>
        <w:t xml:space="preserve"> had presented with superficial </w:t>
      </w:r>
      <w:r w:rsidR="00107307" w:rsidRPr="00560223">
        <w:rPr>
          <w:color w:val="000000" w:themeColor="text1"/>
        </w:rPr>
        <w:t>lymphadenopathy from January 2017 to June 2018</w:t>
      </w:r>
    </w:p>
    <w:p w:rsidR="003A4B7B" w:rsidRPr="00560223" w:rsidRDefault="00A42FF4" w:rsidP="00560223">
      <w:pPr>
        <w:spacing w:after="0"/>
        <w:jc w:val="both"/>
        <w:rPr>
          <w:color w:val="000000" w:themeColor="text1"/>
          <w:sz w:val="24"/>
          <w:szCs w:val="24"/>
        </w:rPr>
      </w:pPr>
      <w:r w:rsidRPr="00560223">
        <w:rPr>
          <w:b/>
          <w:color w:val="000000" w:themeColor="text1"/>
          <w:sz w:val="24"/>
          <w:szCs w:val="24"/>
        </w:rPr>
        <w:t>Result</w:t>
      </w:r>
      <w:r w:rsidRPr="00560223">
        <w:rPr>
          <w:color w:val="000000" w:themeColor="text1"/>
          <w:sz w:val="24"/>
          <w:szCs w:val="24"/>
        </w:rPr>
        <w:t>-</w:t>
      </w:r>
      <w:r w:rsidR="008A1519" w:rsidRPr="00560223">
        <w:rPr>
          <w:color w:val="000000" w:themeColor="text1"/>
          <w:sz w:val="24"/>
          <w:szCs w:val="24"/>
        </w:rPr>
        <w:t xml:space="preserve">A total of 1500 lymph nodes were </w:t>
      </w:r>
      <w:r w:rsidR="00E53A58" w:rsidRPr="00560223">
        <w:rPr>
          <w:color w:val="000000" w:themeColor="text1"/>
          <w:sz w:val="24"/>
          <w:szCs w:val="24"/>
        </w:rPr>
        <w:t>aspirated. Male</w:t>
      </w:r>
      <w:r w:rsidR="002E652B" w:rsidRPr="00560223">
        <w:rPr>
          <w:color w:val="000000" w:themeColor="text1"/>
          <w:sz w:val="24"/>
          <w:szCs w:val="24"/>
        </w:rPr>
        <w:t xml:space="preserve"> and female accounts 53.1% and 46.9</w:t>
      </w:r>
      <w:r w:rsidR="009F0C02">
        <w:rPr>
          <w:color w:val="000000" w:themeColor="text1"/>
          <w:sz w:val="24"/>
          <w:szCs w:val="24"/>
        </w:rPr>
        <w:t>%</w:t>
      </w:r>
      <w:r w:rsidR="003A5AC2">
        <w:rPr>
          <w:color w:val="000000" w:themeColor="text1"/>
          <w:sz w:val="24"/>
          <w:szCs w:val="24"/>
        </w:rPr>
        <w:t>,</w:t>
      </w:r>
      <w:r w:rsidR="003A5AC2" w:rsidRPr="00560223">
        <w:rPr>
          <w:color w:val="000000" w:themeColor="text1"/>
          <w:sz w:val="24"/>
          <w:szCs w:val="24"/>
        </w:rPr>
        <w:t xml:space="preserve"> respectivelly.Cervical</w:t>
      </w:r>
      <w:r w:rsidR="008A1519" w:rsidRPr="00560223">
        <w:rPr>
          <w:color w:val="000000" w:themeColor="text1"/>
          <w:sz w:val="24"/>
          <w:szCs w:val="24"/>
        </w:rPr>
        <w:t xml:space="preserve"> lymphadenopath</w:t>
      </w:r>
      <w:r w:rsidR="009F0C02">
        <w:rPr>
          <w:color w:val="000000" w:themeColor="text1"/>
          <w:sz w:val="24"/>
          <w:szCs w:val="24"/>
        </w:rPr>
        <w:t>y was the most frequent</w:t>
      </w:r>
      <w:r w:rsidR="0047262C" w:rsidRPr="00560223">
        <w:rPr>
          <w:color w:val="000000" w:themeColor="text1"/>
          <w:sz w:val="24"/>
          <w:szCs w:val="24"/>
        </w:rPr>
        <w:t>(52%).M</w:t>
      </w:r>
      <w:r w:rsidR="002E652B" w:rsidRPr="00560223">
        <w:rPr>
          <w:color w:val="000000" w:themeColor="text1"/>
          <w:sz w:val="24"/>
          <w:szCs w:val="24"/>
        </w:rPr>
        <w:t xml:space="preserve">ost of </w:t>
      </w:r>
      <w:r w:rsidR="008A1519" w:rsidRPr="00560223">
        <w:rPr>
          <w:color w:val="000000" w:themeColor="text1"/>
          <w:sz w:val="24"/>
          <w:szCs w:val="24"/>
        </w:rPr>
        <w:t xml:space="preserve">tuberculosis </w:t>
      </w:r>
      <w:r w:rsidR="000E524B" w:rsidRPr="00560223">
        <w:rPr>
          <w:color w:val="000000" w:themeColor="text1"/>
          <w:sz w:val="24"/>
          <w:szCs w:val="24"/>
        </w:rPr>
        <w:t>cases have</w:t>
      </w:r>
      <w:r w:rsidR="008A1519" w:rsidRPr="00560223">
        <w:rPr>
          <w:color w:val="000000" w:themeColor="text1"/>
          <w:sz w:val="24"/>
          <w:szCs w:val="24"/>
        </w:rPr>
        <w:t xml:space="preserve"> similar cytologic and clinical </w:t>
      </w:r>
      <w:r w:rsidR="0047262C" w:rsidRPr="00560223">
        <w:rPr>
          <w:color w:val="000000" w:themeColor="text1"/>
          <w:sz w:val="24"/>
          <w:szCs w:val="24"/>
        </w:rPr>
        <w:t>diagnosis (</w:t>
      </w:r>
      <w:r w:rsidR="002E652B" w:rsidRPr="00560223">
        <w:rPr>
          <w:color w:val="000000" w:themeColor="text1"/>
          <w:sz w:val="24"/>
          <w:szCs w:val="24"/>
        </w:rPr>
        <w:t>87%)</w:t>
      </w:r>
      <w:r w:rsidR="008A1519" w:rsidRPr="00560223">
        <w:rPr>
          <w:color w:val="000000" w:themeColor="text1"/>
          <w:sz w:val="24"/>
          <w:szCs w:val="24"/>
        </w:rPr>
        <w:t xml:space="preserve"> but from Secondary tumors only 35</w:t>
      </w:r>
      <w:r w:rsidR="000E524B" w:rsidRPr="00560223">
        <w:rPr>
          <w:color w:val="000000" w:themeColor="text1"/>
          <w:sz w:val="24"/>
          <w:szCs w:val="24"/>
        </w:rPr>
        <w:t>%</w:t>
      </w:r>
      <w:r w:rsidR="008A1519" w:rsidRPr="00560223">
        <w:rPr>
          <w:color w:val="000000" w:themeColor="text1"/>
          <w:sz w:val="24"/>
          <w:szCs w:val="24"/>
        </w:rPr>
        <w:t xml:space="preserve"> have similar clinical diagnosis and only 5% of </w:t>
      </w:r>
      <w:r w:rsidR="002741D0" w:rsidRPr="00560223">
        <w:rPr>
          <w:color w:val="000000" w:themeColor="text1"/>
          <w:sz w:val="24"/>
          <w:szCs w:val="24"/>
        </w:rPr>
        <w:t>Hodgkin’s</w:t>
      </w:r>
      <w:r w:rsidR="008A1519" w:rsidRPr="00560223">
        <w:rPr>
          <w:color w:val="000000" w:themeColor="text1"/>
          <w:sz w:val="24"/>
          <w:szCs w:val="24"/>
        </w:rPr>
        <w:t xml:space="preserve"> lymphoma cases are </w:t>
      </w:r>
      <w:r w:rsidRPr="00560223">
        <w:rPr>
          <w:color w:val="000000" w:themeColor="text1"/>
          <w:sz w:val="24"/>
          <w:szCs w:val="24"/>
        </w:rPr>
        <w:t xml:space="preserve">correctly diagnosed </w:t>
      </w:r>
      <w:r w:rsidR="000E23E7" w:rsidRPr="00560223">
        <w:rPr>
          <w:color w:val="000000" w:themeColor="text1"/>
          <w:sz w:val="24"/>
          <w:szCs w:val="24"/>
        </w:rPr>
        <w:t>clinically. The</w:t>
      </w:r>
      <w:r w:rsidR="008A1519" w:rsidRPr="00560223">
        <w:rPr>
          <w:color w:val="000000" w:themeColor="text1"/>
          <w:sz w:val="24"/>
          <w:szCs w:val="24"/>
        </w:rPr>
        <w:t xml:space="preserve"> age group of 21-30 years was the most affected age group while age group above 70 with less frequency. Tuberculosis lymphadenitis was the highest (38.5%), reactive (27.1%), malignancy accounts for (15.8%) ,granulomatous lymphadenitis (8.3%) and </w:t>
      </w:r>
      <w:r w:rsidR="00560223" w:rsidRPr="00560223">
        <w:rPr>
          <w:color w:val="000000" w:themeColor="text1"/>
          <w:sz w:val="24"/>
          <w:szCs w:val="24"/>
        </w:rPr>
        <w:t>non-diagnostics</w:t>
      </w:r>
      <w:r w:rsidR="008A1519" w:rsidRPr="00560223">
        <w:rPr>
          <w:color w:val="000000" w:themeColor="text1"/>
          <w:sz w:val="24"/>
          <w:szCs w:val="24"/>
        </w:rPr>
        <w:t xml:space="preserve"> accounts about(5.6%)</w:t>
      </w:r>
      <w:r w:rsidR="00107307" w:rsidRPr="00560223">
        <w:rPr>
          <w:color w:val="000000" w:themeColor="text1"/>
          <w:sz w:val="24"/>
          <w:szCs w:val="24"/>
        </w:rPr>
        <w:t>.From total cases only</w:t>
      </w:r>
      <w:r w:rsidR="008A1519" w:rsidRPr="00560223">
        <w:rPr>
          <w:color w:val="000000" w:themeColor="text1"/>
          <w:sz w:val="24"/>
          <w:szCs w:val="24"/>
        </w:rPr>
        <w:t xml:space="preserve"> 9 repeat</w:t>
      </w:r>
      <w:r w:rsidR="00107307" w:rsidRPr="00560223">
        <w:rPr>
          <w:color w:val="000000" w:themeColor="text1"/>
          <w:sz w:val="24"/>
          <w:szCs w:val="24"/>
        </w:rPr>
        <w:t>s of aspiration</w:t>
      </w:r>
      <w:r w:rsidR="002741D0" w:rsidRPr="00560223">
        <w:rPr>
          <w:color w:val="000000" w:themeColor="text1"/>
          <w:sz w:val="24"/>
          <w:szCs w:val="24"/>
        </w:rPr>
        <w:t xml:space="preserve"> were</w:t>
      </w:r>
      <w:r w:rsidR="008A1519" w:rsidRPr="00560223">
        <w:rPr>
          <w:color w:val="000000" w:themeColor="text1"/>
          <w:sz w:val="24"/>
          <w:szCs w:val="24"/>
        </w:rPr>
        <w:t xml:space="preserve"> </w:t>
      </w:r>
      <w:r w:rsidR="003A5AC2" w:rsidRPr="00560223">
        <w:rPr>
          <w:color w:val="000000" w:themeColor="text1"/>
          <w:sz w:val="24"/>
          <w:szCs w:val="24"/>
        </w:rPr>
        <w:t>done</w:t>
      </w:r>
      <w:r w:rsidR="003A5AC2">
        <w:rPr>
          <w:color w:val="000000" w:themeColor="text1"/>
          <w:sz w:val="24"/>
          <w:szCs w:val="24"/>
        </w:rPr>
        <w:t>.</w:t>
      </w:r>
      <w:r w:rsidR="003A5AC2" w:rsidRPr="00560223">
        <w:rPr>
          <w:color w:val="000000" w:themeColor="text1"/>
          <w:sz w:val="24"/>
          <w:szCs w:val="24"/>
        </w:rPr>
        <w:t xml:space="preserve"> Most</w:t>
      </w:r>
      <w:r w:rsidR="003A4B7B" w:rsidRPr="00560223">
        <w:rPr>
          <w:color w:val="000000" w:themeColor="text1"/>
          <w:sz w:val="24"/>
          <w:szCs w:val="24"/>
        </w:rPr>
        <w:t xml:space="preserve"> </w:t>
      </w:r>
      <w:r w:rsidR="002741D0" w:rsidRPr="00560223">
        <w:rPr>
          <w:color w:val="000000" w:themeColor="text1"/>
          <w:sz w:val="24"/>
          <w:szCs w:val="24"/>
        </w:rPr>
        <w:t>patients</w:t>
      </w:r>
      <w:r w:rsidR="003A4B7B" w:rsidRPr="00560223">
        <w:rPr>
          <w:color w:val="000000" w:themeColor="text1"/>
          <w:sz w:val="24"/>
          <w:szCs w:val="24"/>
        </w:rPr>
        <w:t xml:space="preserve"> with TB are at 21-30 and 31-40 years. Reactive lymphadenitis</w:t>
      </w:r>
      <w:r w:rsidR="008208AB" w:rsidRPr="00560223">
        <w:rPr>
          <w:color w:val="000000" w:themeColor="text1"/>
          <w:sz w:val="24"/>
          <w:szCs w:val="24"/>
        </w:rPr>
        <w:t xml:space="preserve"> cases</w:t>
      </w:r>
      <w:r w:rsidR="003A4B7B" w:rsidRPr="00560223">
        <w:rPr>
          <w:color w:val="000000" w:themeColor="text1"/>
          <w:sz w:val="24"/>
          <w:szCs w:val="24"/>
        </w:rPr>
        <w:t xml:space="preserve"> are mostly identified below age of 10 </w:t>
      </w:r>
      <w:r w:rsidR="002741D0" w:rsidRPr="00560223">
        <w:rPr>
          <w:color w:val="000000" w:themeColor="text1"/>
          <w:sz w:val="24"/>
          <w:szCs w:val="24"/>
        </w:rPr>
        <w:t>years. Malignancy</w:t>
      </w:r>
      <w:r w:rsidR="003A4B7B" w:rsidRPr="00560223">
        <w:rPr>
          <w:color w:val="000000" w:themeColor="text1"/>
          <w:sz w:val="24"/>
          <w:szCs w:val="24"/>
        </w:rPr>
        <w:t xml:space="preserve"> accounts around 15.8% of the </w:t>
      </w:r>
      <w:r w:rsidR="002741D0" w:rsidRPr="00560223">
        <w:rPr>
          <w:color w:val="000000" w:themeColor="text1"/>
          <w:sz w:val="24"/>
          <w:szCs w:val="24"/>
        </w:rPr>
        <w:t>cases commonly with in age group of 60-70 years</w:t>
      </w:r>
      <w:r w:rsidR="009F0C02">
        <w:rPr>
          <w:color w:val="000000" w:themeColor="text1"/>
          <w:sz w:val="24"/>
          <w:szCs w:val="24"/>
        </w:rPr>
        <w:t xml:space="preserve"> </w:t>
      </w:r>
      <w:r w:rsidR="002741D0" w:rsidRPr="00560223">
        <w:rPr>
          <w:color w:val="000000" w:themeColor="text1"/>
          <w:sz w:val="24"/>
          <w:szCs w:val="24"/>
        </w:rPr>
        <w:t xml:space="preserve">and males are dominant except in secondary tumors. Most cases </w:t>
      </w:r>
      <w:r w:rsidR="003A4B7B" w:rsidRPr="00560223">
        <w:rPr>
          <w:color w:val="000000" w:themeColor="text1"/>
          <w:sz w:val="24"/>
          <w:szCs w:val="24"/>
        </w:rPr>
        <w:t xml:space="preserve">with age above 70 are </w:t>
      </w:r>
      <w:r w:rsidR="002741D0" w:rsidRPr="00560223">
        <w:rPr>
          <w:color w:val="000000" w:themeColor="text1"/>
          <w:sz w:val="24"/>
          <w:szCs w:val="24"/>
        </w:rPr>
        <w:t>malignant (</w:t>
      </w:r>
      <w:r w:rsidR="003A4B7B" w:rsidRPr="00560223">
        <w:rPr>
          <w:color w:val="000000" w:themeColor="text1"/>
          <w:sz w:val="24"/>
          <w:szCs w:val="24"/>
        </w:rPr>
        <w:t xml:space="preserve">54%).Most </w:t>
      </w:r>
      <w:r w:rsidR="002741D0" w:rsidRPr="00560223">
        <w:rPr>
          <w:color w:val="000000" w:themeColor="text1"/>
          <w:sz w:val="24"/>
          <w:szCs w:val="24"/>
        </w:rPr>
        <w:t>patient with age less than 10years</w:t>
      </w:r>
      <w:r w:rsidR="008208AB" w:rsidRPr="00560223">
        <w:rPr>
          <w:color w:val="000000" w:themeColor="text1"/>
          <w:sz w:val="24"/>
          <w:szCs w:val="24"/>
        </w:rPr>
        <w:t xml:space="preserve"> have</w:t>
      </w:r>
      <w:r w:rsidR="003A4B7B" w:rsidRPr="00560223">
        <w:rPr>
          <w:color w:val="000000" w:themeColor="text1"/>
          <w:sz w:val="24"/>
          <w:szCs w:val="24"/>
        </w:rPr>
        <w:t xml:space="preserve"> benign</w:t>
      </w:r>
      <w:r w:rsidR="008208AB" w:rsidRPr="00560223">
        <w:rPr>
          <w:color w:val="000000" w:themeColor="text1"/>
          <w:sz w:val="24"/>
          <w:szCs w:val="24"/>
        </w:rPr>
        <w:t xml:space="preserve"> diagnosis</w:t>
      </w:r>
      <w:r w:rsidR="003A4B7B" w:rsidRPr="00560223">
        <w:rPr>
          <w:color w:val="000000" w:themeColor="text1"/>
          <w:sz w:val="24"/>
          <w:szCs w:val="24"/>
        </w:rPr>
        <w:t xml:space="preserve">. </w:t>
      </w:r>
    </w:p>
    <w:p w:rsidR="008208AB" w:rsidRPr="00560223" w:rsidRDefault="008208AB" w:rsidP="00560223">
      <w:pPr>
        <w:spacing w:after="0"/>
        <w:jc w:val="both"/>
        <w:rPr>
          <w:b/>
          <w:color w:val="000000" w:themeColor="text1"/>
          <w:sz w:val="24"/>
          <w:szCs w:val="24"/>
        </w:rPr>
      </w:pPr>
      <w:r w:rsidRPr="00560223">
        <w:rPr>
          <w:b/>
          <w:color w:val="000000" w:themeColor="text1"/>
          <w:sz w:val="24"/>
          <w:szCs w:val="24"/>
        </w:rPr>
        <w:t>Discussion –</w:t>
      </w:r>
      <w:r w:rsidR="00560223" w:rsidRPr="00560223">
        <w:rPr>
          <w:color w:val="000000" w:themeColor="text1"/>
          <w:sz w:val="24"/>
          <w:szCs w:val="24"/>
        </w:rPr>
        <w:t>M</w:t>
      </w:r>
      <w:r w:rsidR="009F0C02">
        <w:rPr>
          <w:color w:val="000000" w:themeColor="text1"/>
          <w:sz w:val="24"/>
          <w:szCs w:val="24"/>
        </w:rPr>
        <w:t>ost of Hodgkin’s</w:t>
      </w:r>
      <w:r w:rsidRPr="00560223">
        <w:rPr>
          <w:color w:val="000000" w:themeColor="text1"/>
          <w:sz w:val="24"/>
          <w:szCs w:val="24"/>
        </w:rPr>
        <w:t xml:space="preserve"> lymphoma patients are not correctly diagnosed clinically ,this is most likely because of single or smaller numbers of lymph node and young age of </w:t>
      </w:r>
      <w:r w:rsidR="009F0C02" w:rsidRPr="00560223">
        <w:rPr>
          <w:color w:val="000000" w:themeColor="text1"/>
          <w:sz w:val="24"/>
          <w:szCs w:val="24"/>
        </w:rPr>
        <w:t>presentation, which</w:t>
      </w:r>
      <w:r w:rsidRPr="00560223">
        <w:rPr>
          <w:color w:val="000000" w:themeColor="text1"/>
          <w:sz w:val="24"/>
          <w:szCs w:val="24"/>
        </w:rPr>
        <w:t xml:space="preserve"> limits the clinicians to think malignant lesions.</w:t>
      </w:r>
    </w:p>
    <w:p w:rsidR="00CB4478" w:rsidRPr="00560223" w:rsidRDefault="00CB4478" w:rsidP="00560223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color w:val="000000" w:themeColor="text1"/>
          <w:sz w:val="24"/>
          <w:szCs w:val="24"/>
        </w:rPr>
      </w:pPr>
      <w:r w:rsidRPr="00560223">
        <w:rPr>
          <w:b/>
          <w:color w:val="000000" w:themeColor="text1"/>
          <w:sz w:val="24"/>
          <w:szCs w:val="24"/>
        </w:rPr>
        <w:t>Conclusion</w:t>
      </w:r>
      <w:r w:rsidRPr="00560223">
        <w:rPr>
          <w:color w:val="000000" w:themeColor="text1"/>
          <w:sz w:val="24"/>
          <w:szCs w:val="24"/>
        </w:rPr>
        <w:t xml:space="preserve">: </w:t>
      </w:r>
      <w:r w:rsidR="005006AF" w:rsidRPr="00560223">
        <w:rPr>
          <w:rFonts w:eastAsia="TimesNewRomanPSMT"/>
          <w:color w:val="000000" w:themeColor="text1"/>
          <w:sz w:val="24"/>
          <w:szCs w:val="24"/>
        </w:rPr>
        <w:t>This</w:t>
      </w:r>
      <w:r w:rsidRPr="00560223">
        <w:rPr>
          <w:rFonts w:eastAsia="TimesNewRomanPSMT"/>
          <w:color w:val="000000" w:themeColor="text1"/>
          <w:sz w:val="24"/>
          <w:szCs w:val="24"/>
        </w:rPr>
        <w:t xml:space="preserve"> study highlighted the</w:t>
      </w:r>
      <w:r w:rsidR="009F0C02">
        <w:rPr>
          <w:rFonts w:eastAsia="TimesNewRomanPSMT"/>
          <w:color w:val="000000" w:themeColor="text1"/>
          <w:sz w:val="24"/>
          <w:szCs w:val="24"/>
        </w:rPr>
        <w:t xml:space="preserve"> </w:t>
      </w:r>
      <w:r w:rsidRPr="00560223">
        <w:rPr>
          <w:rFonts w:eastAsia="TimesNewRomanPSMT"/>
          <w:color w:val="000000" w:themeColor="text1"/>
          <w:sz w:val="24"/>
          <w:szCs w:val="24"/>
        </w:rPr>
        <w:t>various cytomorphological patterns of lymphadenopathy and revealed a huge burden of tuberculous lymphadenitis in this region</w:t>
      </w:r>
      <w:r w:rsidR="000E23E7" w:rsidRPr="00560223">
        <w:rPr>
          <w:rFonts w:eastAsia="TimesNewRomanPSMT"/>
          <w:color w:val="000000" w:themeColor="text1"/>
          <w:sz w:val="24"/>
          <w:szCs w:val="24"/>
        </w:rPr>
        <w:t xml:space="preserve"> and </w:t>
      </w:r>
      <w:r w:rsidR="0009331A" w:rsidRPr="00560223">
        <w:rPr>
          <w:rFonts w:eastAsia="TimesNewRomanPSMT"/>
          <w:color w:val="000000" w:themeColor="text1"/>
          <w:sz w:val="24"/>
          <w:szCs w:val="24"/>
        </w:rPr>
        <w:t>87%</w:t>
      </w:r>
      <w:r w:rsidR="002741D0" w:rsidRPr="00560223">
        <w:rPr>
          <w:rFonts w:eastAsia="TimesNewRomanPSMT"/>
          <w:color w:val="000000" w:themeColor="text1"/>
          <w:sz w:val="24"/>
          <w:szCs w:val="24"/>
        </w:rPr>
        <w:t xml:space="preserve"> cases</w:t>
      </w:r>
      <w:r w:rsidR="000E23E7" w:rsidRPr="00560223">
        <w:rPr>
          <w:rFonts w:eastAsia="TimesNewRomanPSMT"/>
          <w:color w:val="000000" w:themeColor="text1"/>
          <w:sz w:val="24"/>
          <w:szCs w:val="24"/>
        </w:rPr>
        <w:t xml:space="preserve"> are correctly diagnosed clinically</w:t>
      </w:r>
    </w:p>
    <w:p w:rsidR="000E23E7" w:rsidRPr="00560223" w:rsidRDefault="000E23E7" w:rsidP="00560223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color w:val="000000" w:themeColor="text1"/>
          <w:sz w:val="24"/>
          <w:szCs w:val="24"/>
        </w:rPr>
      </w:pPr>
      <w:r w:rsidRPr="00560223">
        <w:rPr>
          <w:rFonts w:eastAsia="TimesNewRomanPSMT"/>
          <w:color w:val="000000" w:themeColor="text1"/>
          <w:sz w:val="24"/>
          <w:szCs w:val="24"/>
        </w:rPr>
        <w:t>This study also shows the importance of repeats of aspiration because it results specific cytologic diagnosis in 89% of cases.</w:t>
      </w:r>
    </w:p>
    <w:p w:rsidR="00A42FF4" w:rsidRPr="00560223" w:rsidRDefault="00A42FF4" w:rsidP="00560223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60223">
        <w:rPr>
          <w:b/>
          <w:color w:val="000000" w:themeColor="text1"/>
          <w:sz w:val="24"/>
          <w:szCs w:val="24"/>
        </w:rPr>
        <w:t>Key words</w:t>
      </w:r>
      <w:r w:rsidRPr="00560223">
        <w:rPr>
          <w:color w:val="000000" w:themeColor="text1"/>
          <w:sz w:val="24"/>
          <w:szCs w:val="24"/>
        </w:rPr>
        <w:t>-</w:t>
      </w:r>
      <w:r w:rsidR="002E652B" w:rsidRPr="00560223">
        <w:rPr>
          <w:color w:val="000000" w:themeColor="text1"/>
          <w:sz w:val="24"/>
          <w:szCs w:val="24"/>
        </w:rPr>
        <w:t xml:space="preserve"> Fine-needle aspiration, L</w:t>
      </w:r>
      <w:r w:rsidR="003365DE" w:rsidRPr="00560223">
        <w:rPr>
          <w:color w:val="000000" w:themeColor="text1"/>
          <w:sz w:val="24"/>
          <w:szCs w:val="24"/>
        </w:rPr>
        <w:t>ymphadenopathy</w:t>
      </w:r>
      <w:r w:rsidR="002E652B" w:rsidRPr="00560223">
        <w:rPr>
          <w:color w:val="000000" w:themeColor="text1"/>
          <w:sz w:val="24"/>
          <w:szCs w:val="24"/>
        </w:rPr>
        <w:t>, Benign</w:t>
      </w:r>
      <w:r w:rsidR="002741D0" w:rsidRPr="00560223">
        <w:rPr>
          <w:color w:val="000000" w:themeColor="text1"/>
          <w:sz w:val="24"/>
          <w:szCs w:val="24"/>
        </w:rPr>
        <w:t>, Atypical, Malignant,</w:t>
      </w:r>
    </w:p>
    <w:sectPr w:rsidR="00A42FF4" w:rsidRPr="00560223" w:rsidSect="004B6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53B" w:rsidRDefault="009C253B" w:rsidP="00512612">
      <w:pPr>
        <w:spacing w:after="0" w:line="240" w:lineRule="auto"/>
      </w:pPr>
      <w:r>
        <w:separator/>
      </w:r>
    </w:p>
  </w:endnote>
  <w:endnote w:type="continuationSeparator" w:id="1">
    <w:p w:rsidR="009C253B" w:rsidRDefault="009C253B" w:rsidP="0051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53B" w:rsidRDefault="009C253B" w:rsidP="00512612">
      <w:pPr>
        <w:spacing w:after="0" w:line="240" w:lineRule="auto"/>
      </w:pPr>
      <w:r>
        <w:separator/>
      </w:r>
    </w:p>
  </w:footnote>
  <w:footnote w:type="continuationSeparator" w:id="1">
    <w:p w:rsidR="009C253B" w:rsidRDefault="009C253B" w:rsidP="00512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A11F4"/>
    <w:multiLevelType w:val="hybridMultilevel"/>
    <w:tmpl w:val="FF5650CA"/>
    <w:lvl w:ilvl="0" w:tplc="B5143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283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F61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65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EC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3248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208D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848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6C3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FCA"/>
    <w:rsid w:val="0009331A"/>
    <w:rsid w:val="000E23E7"/>
    <w:rsid w:val="000E524B"/>
    <w:rsid w:val="00107307"/>
    <w:rsid w:val="001211FE"/>
    <w:rsid w:val="001768E2"/>
    <w:rsid w:val="001C392F"/>
    <w:rsid w:val="001C70D4"/>
    <w:rsid w:val="002741D0"/>
    <w:rsid w:val="00284A1B"/>
    <w:rsid w:val="002E652B"/>
    <w:rsid w:val="00312B68"/>
    <w:rsid w:val="003271A8"/>
    <w:rsid w:val="0033029F"/>
    <w:rsid w:val="003365DE"/>
    <w:rsid w:val="003A391A"/>
    <w:rsid w:val="003A4B7B"/>
    <w:rsid w:val="003A4E96"/>
    <w:rsid w:val="003A5AC2"/>
    <w:rsid w:val="003F76FD"/>
    <w:rsid w:val="00465D78"/>
    <w:rsid w:val="0047262C"/>
    <w:rsid w:val="00492832"/>
    <w:rsid w:val="004B6435"/>
    <w:rsid w:val="005006AF"/>
    <w:rsid w:val="00512612"/>
    <w:rsid w:val="00560223"/>
    <w:rsid w:val="005B2AE6"/>
    <w:rsid w:val="006C1BF7"/>
    <w:rsid w:val="006C4640"/>
    <w:rsid w:val="006C6FCA"/>
    <w:rsid w:val="006F469C"/>
    <w:rsid w:val="00782C08"/>
    <w:rsid w:val="007C4936"/>
    <w:rsid w:val="007D4A40"/>
    <w:rsid w:val="007F63D7"/>
    <w:rsid w:val="008208AB"/>
    <w:rsid w:val="008A1519"/>
    <w:rsid w:val="008B6360"/>
    <w:rsid w:val="008E56D9"/>
    <w:rsid w:val="00914497"/>
    <w:rsid w:val="009C253B"/>
    <w:rsid w:val="009F0C02"/>
    <w:rsid w:val="00A3793A"/>
    <w:rsid w:val="00A42FF4"/>
    <w:rsid w:val="00A733ED"/>
    <w:rsid w:val="00B3292B"/>
    <w:rsid w:val="00B32FF2"/>
    <w:rsid w:val="00B7685A"/>
    <w:rsid w:val="00B94BBC"/>
    <w:rsid w:val="00BC1C23"/>
    <w:rsid w:val="00CB4478"/>
    <w:rsid w:val="00CB55B2"/>
    <w:rsid w:val="00CD4291"/>
    <w:rsid w:val="00CF0487"/>
    <w:rsid w:val="00D34F7D"/>
    <w:rsid w:val="00D61DAE"/>
    <w:rsid w:val="00DA56B7"/>
    <w:rsid w:val="00E029DD"/>
    <w:rsid w:val="00E2633A"/>
    <w:rsid w:val="00E53A58"/>
    <w:rsid w:val="00F0232C"/>
    <w:rsid w:val="00F052D2"/>
    <w:rsid w:val="00F137FD"/>
    <w:rsid w:val="00F9247D"/>
    <w:rsid w:val="00F9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FCA"/>
    <w:rPr>
      <w:rFonts w:ascii="Times New Roman" w:hAnsi="Times New Roman" w:cs="Times New Roman"/>
      <w:color w:val="313B34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C6F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12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612"/>
    <w:rPr>
      <w:rFonts w:ascii="Times New Roman" w:hAnsi="Times New Roman" w:cs="Times New Roman"/>
      <w:color w:val="313B34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512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2612"/>
    <w:rPr>
      <w:rFonts w:ascii="Times New Roman" w:hAnsi="Times New Roman" w:cs="Times New Roman"/>
      <w:color w:val="313B34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1449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497"/>
    <w:rPr>
      <w:rFonts w:ascii="Tahoma" w:hAnsi="Tahoma" w:cs="Tahoma"/>
      <w:color w:val="313B34"/>
      <w:sz w:val="16"/>
      <w:szCs w:val="16"/>
    </w:rPr>
  </w:style>
  <w:style w:type="paragraph" w:styleId="ListParagraph">
    <w:name w:val="List Paragraph"/>
    <w:basedOn w:val="Normal"/>
    <w:uiPriority w:val="34"/>
    <w:qFormat/>
    <w:rsid w:val="00472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6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0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94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35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47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9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04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D8B8-DF7C-4DF1-BA7B-C5467547D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dcterms:created xsi:type="dcterms:W3CDTF">2019-12-10T21:59:00Z</dcterms:created>
  <dcterms:modified xsi:type="dcterms:W3CDTF">2019-12-14T17:51:00Z</dcterms:modified>
</cp:coreProperties>
</file>