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00B1D" w14:textId="5F4DA0CF" w:rsidR="000B6F39" w:rsidRPr="00A8726D" w:rsidRDefault="000B6F39" w:rsidP="008F20BC">
      <w:pPr>
        <w:spacing w:after="0" w:line="240" w:lineRule="auto"/>
        <w:contextualSpacing/>
        <w:rPr>
          <w:b/>
          <w:bCs/>
        </w:rPr>
      </w:pPr>
    </w:p>
    <w:p w14:paraId="14BA90B5" w14:textId="77777777" w:rsidR="008F20BC" w:rsidRPr="00A8726D" w:rsidRDefault="008F20BC" w:rsidP="008F20BC">
      <w:pPr>
        <w:spacing w:after="0" w:line="240" w:lineRule="auto"/>
        <w:contextualSpacing/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</w:pPr>
      <w:r w:rsidRPr="00A8726D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>Authors:</w:t>
      </w:r>
    </w:p>
    <w:p w14:paraId="1AF89ABE" w14:textId="7FDB222A" w:rsidR="008F20BC" w:rsidRPr="008F20BC" w:rsidRDefault="008F20BC" w:rsidP="008F20BC">
      <w:pPr>
        <w:spacing w:after="0" w:line="240" w:lineRule="auto"/>
        <w:contextualSpacing/>
        <w:rPr>
          <w:rFonts w:ascii="Arial" w:eastAsia="Times New Roman" w:hAnsi="Arial" w:cs="Arial"/>
          <w:b/>
          <w:bCs/>
          <w:sz w:val="24"/>
          <w:szCs w:val="24"/>
        </w:rPr>
      </w:pPr>
      <w:r w:rsidRPr="008F20BC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Shweta Chaudhary, Noah Brown, </w:t>
      </w:r>
      <w:proofErr w:type="spellStart"/>
      <w:r w:rsidRPr="008F20BC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>Joo</w:t>
      </w:r>
      <w:proofErr w:type="spellEnd"/>
      <w:r w:rsidRPr="008F20BC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Y. Song,</w:t>
      </w:r>
      <w:r w:rsidRPr="00A8726D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Jerry Wong,</w:t>
      </w:r>
      <w:r w:rsidRPr="008F20BC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Lin Yang, Pamela </w:t>
      </w:r>
      <w:proofErr w:type="spellStart"/>
      <w:r w:rsidRPr="008F20BC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>Skrabek</w:t>
      </w:r>
      <w:proofErr w:type="spellEnd"/>
      <w:r w:rsidRPr="008F20BC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, Michel Nasr, </w:t>
      </w:r>
      <w:proofErr w:type="spellStart"/>
      <w:r w:rsidRPr="00A8726D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>Jie</w:t>
      </w:r>
      <w:proofErr w:type="spellEnd"/>
      <w:r w:rsidRPr="00A8726D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Li, and </w:t>
      </w:r>
      <w:proofErr w:type="spellStart"/>
      <w:r w:rsidRPr="008F20BC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>Anamarija</w:t>
      </w:r>
      <w:proofErr w:type="spellEnd"/>
      <w:r w:rsidRPr="00A8726D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M.</w:t>
      </w:r>
      <w:r w:rsidRPr="008F20BC">
        <w:rPr>
          <w:rFonts w:ascii="Arial" w:eastAsia="Times New Roman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Perry</w:t>
      </w:r>
    </w:p>
    <w:p w14:paraId="382660E9" w14:textId="77777777" w:rsidR="008F20BC" w:rsidRPr="008F20BC" w:rsidRDefault="008F20BC" w:rsidP="008F20BC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19A2081D" w14:textId="77777777" w:rsidR="008F20BC" w:rsidRDefault="008F20BC" w:rsidP="008F20BC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04194BDC" w14:textId="77777777" w:rsidR="008F20BC" w:rsidRDefault="008F20BC" w:rsidP="008F20BC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Title:</w:t>
      </w:r>
    </w:p>
    <w:p w14:paraId="6F966B3E" w14:textId="01430B68" w:rsidR="000B6F39" w:rsidRPr="008F20BC" w:rsidRDefault="008F20BC" w:rsidP="008F20BC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8F20BC">
        <w:rPr>
          <w:rFonts w:ascii="Arial" w:hAnsi="Arial" w:cs="Arial"/>
          <w:b/>
          <w:bCs/>
          <w:sz w:val="24"/>
          <w:szCs w:val="24"/>
        </w:rPr>
        <w:t>Relative f</w:t>
      </w:r>
      <w:r w:rsidR="000B6F39" w:rsidRPr="008F20BC">
        <w:rPr>
          <w:rFonts w:ascii="Arial" w:hAnsi="Arial" w:cs="Arial"/>
          <w:b/>
          <w:bCs/>
          <w:sz w:val="24"/>
          <w:szCs w:val="24"/>
        </w:rPr>
        <w:t>requency</w:t>
      </w:r>
      <w:r w:rsidRPr="008F20BC">
        <w:rPr>
          <w:rFonts w:ascii="Arial" w:hAnsi="Arial" w:cs="Arial"/>
          <w:b/>
          <w:bCs/>
          <w:sz w:val="24"/>
          <w:szCs w:val="24"/>
        </w:rPr>
        <w:t xml:space="preserve"> and </w:t>
      </w:r>
      <w:r>
        <w:rPr>
          <w:rFonts w:ascii="Arial" w:hAnsi="Arial" w:cs="Arial"/>
          <w:b/>
          <w:bCs/>
          <w:sz w:val="24"/>
          <w:szCs w:val="24"/>
        </w:rPr>
        <w:t>histopathologic</w:t>
      </w:r>
      <w:r w:rsidRPr="008F20BC">
        <w:rPr>
          <w:rFonts w:ascii="Arial" w:hAnsi="Arial" w:cs="Arial"/>
          <w:b/>
          <w:bCs/>
          <w:sz w:val="24"/>
          <w:szCs w:val="24"/>
        </w:rPr>
        <w:t xml:space="preserve"> characteristics of</w:t>
      </w:r>
      <w:r w:rsidR="000B6F39" w:rsidRPr="008F20BC">
        <w:rPr>
          <w:rFonts w:ascii="Arial" w:hAnsi="Arial" w:cs="Arial"/>
          <w:b/>
          <w:bCs/>
          <w:sz w:val="24"/>
          <w:szCs w:val="24"/>
        </w:rPr>
        <w:t xml:space="preserve"> </w:t>
      </w:r>
      <w:r w:rsidR="000B6F39" w:rsidRPr="008F20BC">
        <w:rPr>
          <w:rFonts w:ascii="Arial" w:hAnsi="Arial" w:cs="Arial"/>
          <w:b/>
          <w:bCs/>
          <w:i/>
          <w:iCs/>
          <w:sz w:val="24"/>
          <w:szCs w:val="24"/>
        </w:rPr>
        <w:t>MYC</w:t>
      </w:r>
      <w:r w:rsidR="000B6F39" w:rsidRPr="008F20BC">
        <w:rPr>
          <w:rFonts w:ascii="Arial" w:hAnsi="Arial" w:cs="Arial"/>
          <w:b/>
          <w:bCs/>
          <w:sz w:val="24"/>
          <w:szCs w:val="24"/>
        </w:rPr>
        <w:t xml:space="preserve"> </w:t>
      </w:r>
      <w:r w:rsidR="00C21492" w:rsidRPr="008F20BC">
        <w:rPr>
          <w:rFonts w:ascii="Arial" w:hAnsi="Arial" w:cs="Arial"/>
          <w:b/>
          <w:bCs/>
          <w:sz w:val="24"/>
          <w:szCs w:val="24"/>
        </w:rPr>
        <w:t>rearran</w:t>
      </w:r>
      <w:r w:rsidRPr="008F20BC">
        <w:rPr>
          <w:rFonts w:ascii="Arial" w:hAnsi="Arial" w:cs="Arial"/>
          <w:b/>
          <w:bCs/>
          <w:sz w:val="24"/>
          <w:szCs w:val="24"/>
        </w:rPr>
        <w:t>ged</w:t>
      </w:r>
      <w:r w:rsidR="000B6F39" w:rsidRPr="008F20BC">
        <w:rPr>
          <w:rFonts w:ascii="Arial" w:hAnsi="Arial" w:cs="Arial"/>
          <w:b/>
          <w:bCs/>
          <w:sz w:val="24"/>
          <w:szCs w:val="24"/>
        </w:rPr>
        <w:t xml:space="preserve"> </w:t>
      </w:r>
      <w:r w:rsidRPr="008F20BC">
        <w:rPr>
          <w:rFonts w:ascii="Arial" w:hAnsi="Arial" w:cs="Arial"/>
          <w:b/>
          <w:bCs/>
          <w:sz w:val="24"/>
          <w:szCs w:val="24"/>
        </w:rPr>
        <w:t>f</w:t>
      </w:r>
      <w:r w:rsidR="000B6F39" w:rsidRPr="008F20BC">
        <w:rPr>
          <w:rFonts w:ascii="Arial" w:hAnsi="Arial" w:cs="Arial"/>
          <w:b/>
          <w:bCs/>
          <w:sz w:val="24"/>
          <w:szCs w:val="24"/>
        </w:rPr>
        <w:t>ollicular lymphoma</w:t>
      </w:r>
      <w:r w:rsidRPr="008F20BC">
        <w:rPr>
          <w:rFonts w:ascii="Arial" w:hAnsi="Arial" w:cs="Arial"/>
          <w:b/>
          <w:bCs/>
          <w:sz w:val="24"/>
          <w:szCs w:val="24"/>
        </w:rPr>
        <w:t>s</w:t>
      </w:r>
    </w:p>
    <w:p w14:paraId="1878E8F2" w14:textId="77777777" w:rsidR="008F20BC" w:rsidRDefault="008F20BC" w:rsidP="008F20BC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46D291E8" w14:textId="5D14C8C7" w:rsidR="008F20BC" w:rsidRPr="008F20BC" w:rsidRDefault="008F20BC" w:rsidP="008F20BC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8F20BC">
        <w:rPr>
          <w:rFonts w:ascii="Arial" w:hAnsi="Arial" w:cs="Arial"/>
          <w:b/>
          <w:bCs/>
          <w:sz w:val="24"/>
          <w:szCs w:val="24"/>
        </w:rPr>
        <w:t>Background</w:t>
      </w:r>
    </w:p>
    <w:p w14:paraId="3D27E537" w14:textId="197E06B4" w:rsidR="000B6F39" w:rsidRPr="008F20BC" w:rsidRDefault="00DF1743" w:rsidP="008F20BC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F20BC">
        <w:rPr>
          <w:rFonts w:ascii="Arial" w:hAnsi="Arial" w:cs="Arial"/>
          <w:sz w:val="24"/>
          <w:szCs w:val="24"/>
        </w:rPr>
        <w:t>Follicular lymphoma</w:t>
      </w:r>
      <w:r w:rsidR="00096896">
        <w:rPr>
          <w:rFonts w:ascii="Arial" w:hAnsi="Arial" w:cs="Arial"/>
          <w:sz w:val="24"/>
          <w:szCs w:val="24"/>
        </w:rPr>
        <w:t xml:space="preserve"> (FL)</w:t>
      </w:r>
      <w:r w:rsidR="008D32D3" w:rsidRPr="008F20BC">
        <w:rPr>
          <w:rFonts w:ascii="Arial" w:hAnsi="Arial" w:cs="Arial"/>
          <w:sz w:val="24"/>
          <w:szCs w:val="24"/>
        </w:rPr>
        <w:t xml:space="preserve"> accounts for 20-30% of all </w:t>
      </w:r>
      <w:r w:rsidR="0075596C" w:rsidRPr="008F20BC">
        <w:rPr>
          <w:rFonts w:ascii="Arial" w:hAnsi="Arial" w:cs="Arial"/>
          <w:sz w:val="24"/>
          <w:szCs w:val="24"/>
        </w:rPr>
        <w:t xml:space="preserve">the </w:t>
      </w:r>
      <w:r w:rsidR="008D32D3" w:rsidRPr="008F20BC">
        <w:rPr>
          <w:rFonts w:ascii="Arial" w:hAnsi="Arial" w:cs="Arial"/>
          <w:sz w:val="24"/>
          <w:szCs w:val="24"/>
        </w:rPr>
        <w:t xml:space="preserve">lymphomas in the </w:t>
      </w:r>
      <w:r w:rsidR="008F20BC">
        <w:rPr>
          <w:rFonts w:ascii="Arial" w:hAnsi="Arial" w:cs="Arial"/>
          <w:sz w:val="24"/>
          <w:szCs w:val="24"/>
        </w:rPr>
        <w:t>W</w:t>
      </w:r>
      <w:r w:rsidR="008D32D3" w:rsidRPr="008F20BC">
        <w:rPr>
          <w:rFonts w:ascii="Arial" w:hAnsi="Arial" w:cs="Arial"/>
          <w:sz w:val="24"/>
          <w:szCs w:val="24"/>
        </w:rPr>
        <w:t>estern world</w:t>
      </w:r>
      <w:r w:rsidR="008F20BC">
        <w:rPr>
          <w:rFonts w:ascii="Arial" w:hAnsi="Arial" w:cs="Arial"/>
          <w:sz w:val="24"/>
          <w:szCs w:val="24"/>
        </w:rPr>
        <w:t xml:space="preserve"> and its</w:t>
      </w:r>
      <w:r w:rsidR="000B6F39" w:rsidRPr="008F20BC">
        <w:rPr>
          <w:rFonts w:ascii="Arial" w:hAnsi="Arial" w:cs="Arial"/>
          <w:sz w:val="24"/>
          <w:szCs w:val="24"/>
        </w:rPr>
        <w:t xml:space="preserve"> </w:t>
      </w:r>
      <w:r w:rsidR="008F20BC">
        <w:rPr>
          <w:rFonts w:ascii="Arial" w:hAnsi="Arial" w:cs="Arial"/>
          <w:sz w:val="24"/>
          <w:szCs w:val="24"/>
        </w:rPr>
        <w:t>p</w:t>
      </w:r>
      <w:r w:rsidR="00DF31BD" w:rsidRPr="008F20BC">
        <w:rPr>
          <w:rFonts w:ascii="Arial" w:hAnsi="Arial" w:cs="Arial"/>
          <w:sz w:val="24"/>
          <w:szCs w:val="24"/>
        </w:rPr>
        <w:t xml:space="preserve">rognosis is highly variable with </w:t>
      </w:r>
      <w:r w:rsidR="008F20BC">
        <w:rPr>
          <w:rFonts w:ascii="Arial" w:hAnsi="Arial" w:cs="Arial"/>
          <w:sz w:val="24"/>
          <w:szCs w:val="24"/>
        </w:rPr>
        <w:t>a</w:t>
      </w:r>
      <w:r w:rsidR="00DF31BD" w:rsidRPr="008F20BC">
        <w:rPr>
          <w:rFonts w:ascii="Arial" w:hAnsi="Arial" w:cs="Arial"/>
          <w:sz w:val="24"/>
          <w:szCs w:val="24"/>
        </w:rPr>
        <w:t xml:space="preserve"> 5-</w:t>
      </w:r>
      <w:r w:rsidR="008F20BC">
        <w:rPr>
          <w:rFonts w:ascii="Arial" w:hAnsi="Arial" w:cs="Arial"/>
          <w:sz w:val="24"/>
          <w:szCs w:val="24"/>
        </w:rPr>
        <w:t>y</w:t>
      </w:r>
      <w:r w:rsidR="00DF31BD" w:rsidRPr="008F20BC">
        <w:rPr>
          <w:rFonts w:ascii="Arial" w:hAnsi="Arial" w:cs="Arial"/>
          <w:sz w:val="24"/>
          <w:szCs w:val="24"/>
        </w:rPr>
        <w:t>ear survival rate ranging</w:t>
      </w:r>
      <w:r w:rsidR="008D32D3" w:rsidRPr="008F20BC">
        <w:rPr>
          <w:rFonts w:ascii="Arial" w:hAnsi="Arial" w:cs="Arial"/>
          <w:sz w:val="24"/>
          <w:szCs w:val="24"/>
        </w:rPr>
        <w:t xml:space="preserve"> from 53-90%</w:t>
      </w:r>
      <w:r w:rsidR="0075596C" w:rsidRPr="008F20BC">
        <w:rPr>
          <w:rFonts w:ascii="Arial" w:hAnsi="Arial" w:cs="Arial"/>
          <w:sz w:val="24"/>
          <w:szCs w:val="24"/>
        </w:rPr>
        <w:t>,</w:t>
      </w:r>
      <w:r w:rsidR="008D32D3" w:rsidRPr="008F20BC">
        <w:rPr>
          <w:rFonts w:ascii="Arial" w:hAnsi="Arial" w:cs="Arial"/>
          <w:sz w:val="24"/>
          <w:szCs w:val="24"/>
        </w:rPr>
        <w:t xml:space="preserve"> depending on </w:t>
      </w:r>
      <w:r w:rsidR="00DF31BD" w:rsidRPr="008F20BC">
        <w:rPr>
          <w:rFonts w:ascii="Arial" w:hAnsi="Arial" w:cs="Arial"/>
          <w:sz w:val="24"/>
          <w:szCs w:val="24"/>
        </w:rPr>
        <w:t xml:space="preserve">the </w:t>
      </w:r>
      <w:r w:rsidR="008D32D3" w:rsidRPr="008F20BC">
        <w:rPr>
          <w:rFonts w:ascii="Arial" w:hAnsi="Arial" w:cs="Arial"/>
          <w:sz w:val="24"/>
          <w:szCs w:val="24"/>
        </w:rPr>
        <w:t>risk factors</w:t>
      </w:r>
      <w:r w:rsidR="000B6F39" w:rsidRPr="008F20BC">
        <w:rPr>
          <w:rFonts w:ascii="Arial" w:hAnsi="Arial" w:cs="Arial"/>
          <w:sz w:val="24"/>
          <w:szCs w:val="24"/>
        </w:rPr>
        <w:t xml:space="preserve">. </w:t>
      </w:r>
      <w:r w:rsidR="000B6F39" w:rsidRPr="008F20BC">
        <w:rPr>
          <w:rFonts w:ascii="Arial" w:hAnsi="Arial" w:cs="Arial"/>
          <w:i/>
          <w:iCs/>
          <w:sz w:val="24"/>
          <w:szCs w:val="24"/>
        </w:rPr>
        <w:t>MYC</w:t>
      </w:r>
      <w:r w:rsidR="000B6F39" w:rsidRPr="008F20BC">
        <w:rPr>
          <w:rFonts w:ascii="Arial" w:hAnsi="Arial" w:cs="Arial"/>
          <w:sz w:val="24"/>
          <w:szCs w:val="24"/>
        </w:rPr>
        <w:t xml:space="preserve"> rearrangement is</w:t>
      </w:r>
      <w:r w:rsidR="008F20BC">
        <w:rPr>
          <w:rFonts w:ascii="Arial" w:hAnsi="Arial" w:cs="Arial"/>
          <w:sz w:val="24"/>
          <w:szCs w:val="24"/>
        </w:rPr>
        <w:t xml:space="preserve"> a</w:t>
      </w:r>
      <w:r w:rsidR="000B6F39" w:rsidRPr="008F20BC">
        <w:rPr>
          <w:rFonts w:ascii="Arial" w:hAnsi="Arial" w:cs="Arial"/>
          <w:sz w:val="24"/>
          <w:szCs w:val="24"/>
        </w:rPr>
        <w:t xml:space="preserve"> relatively rare</w:t>
      </w:r>
      <w:r w:rsidR="008F20BC">
        <w:rPr>
          <w:rFonts w:ascii="Arial" w:hAnsi="Arial" w:cs="Arial"/>
          <w:sz w:val="24"/>
          <w:szCs w:val="24"/>
        </w:rPr>
        <w:t xml:space="preserve"> genetic abnormality</w:t>
      </w:r>
      <w:r w:rsidR="000B6F39" w:rsidRPr="008F20BC">
        <w:rPr>
          <w:rFonts w:ascii="Arial" w:hAnsi="Arial" w:cs="Arial"/>
          <w:sz w:val="24"/>
          <w:szCs w:val="24"/>
        </w:rPr>
        <w:t xml:space="preserve"> in </w:t>
      </w:r>
      <w:r w:rsidR="00096896">
        <w:rPr>
          <w:rFonts w:ascii="Arial" w:hAnsi="Arial" w:cs="Arial"/>
          <w:sz w:val="24"/>
          <w:szCs w:val="24"/>
        </w:rPr>
        <w:t>FL</w:t>
      </w:r>
      <w:r w:rsidR="000F63E1">
        <w:rPr>
          <w:rFonts w:ascii="Arial" w:hAnsi="Arial" w:cs="Arial"/>
          <w:sz w:val="24"/>
          <w:szCs w:val="24"/>
        </w:rPr>
        <w:t xml:space="preserve">, with a small number of cases studied in the literature.  </w:t>
      </w:r>
      <w:r w:rsidR="008115FD" w:rsidRPr="008F20BC">
        <w:rPr>
          <w:rFonts w:ascii="Arial" w:hAnsi="Arial" w:cs="Arial"/>
          <w:sz w:val="24"/>
          <w:szCs w:val="24"/>
        </w:rPr>
        <w:t>We evaluate</w:t>
      </w:r>
      <w:r w:rsidR="00096896">
        <w:rPr>
          <w:rFonts w:ascii="Arial" w:hAnsi="Arial" w:cs="Arial"/>
          <w:sz w:val="24"/>
          <w:szCs w:val="24"/>
        </w:rPr>
        <w:t>d</w:t>
      </w:r>
      <w:r w:rsidR="008F20BC">
        <w:rPr>
          <w:rFonts w:ascii="Arial" w:hAnsi="Arial" w:cs="Arial"/>
          <w:sz w:val="24"/>
          <w:szCs w:val="24"/>
        </w:rPr>
        <w:t xml:space="preserve"> the relative frequency of </w:t>
      </w:r>
      <w:r w:rsidR="008F20BC" w:rsidRPr="008F20BC">
        <w:rPr>
          <w:rFonts w:ascii="Arial" w:hAnsi="Arial" w:cs="Arial"/>
          <w:i/>
          <w:iCs/>
          <w:sz w:val="24"/>
          <w:szCs w:val="24"/>
        </w:rPr>
        <w:t xml:space="preserve">MYC </w:t>
      </w:r>
      <w:r w:rsidR="008F20BC">
        <w:rPr>
          <w:rFonts w:ascii="Arial" w:hAnsi="Arial" w:cs="Arial"/>
          <w:sz w:val="24"/>
          <w:szCs w:val="24"/>
        </w:rPr>
        <w:t xml:space="preserve">rearrangement in a large cohort of </w:t>
      </w:r>
      <w:r w:rsidR="00096896">
        <w:rPr>
          <w:rFonts w:ascii="Arial" w:hAnsi="Arial" w:cs="Arial"/>
          <w:sz w:val="24"/>
          <w:szCs w:val="24"/>
        </w:rPr>
        <w:t>FL</w:t>
      </w:r>
      <w:r w:rsidR="008F20BC">
        <w:rPr>
          <w:rFonts w:ascii="Arial" w:hAnsi="Arial" w:cs="Arial"/>
          <w:sz w:val="24"/>
          <w:szCs w:val="24"/>
        </w:rPr>
        <w:t xml:space="preserve"> from two institutions, and </w:t>
      </w:r>
      <w:r w:rsidR="00096896">
        <w:rPr>
          <w:rFonts w:ascii="Arial" w:hAnsi="Arial" w:cs="Arial"/>
          <w:sz w:val="24"/>
          <w:szCs w:val="24"/>
        </w:rPr>
        <w:t>studied</w:t>
      </w:r>
      <w:r w:rsidR="008F20BC">
        <w:rPr>
          <w:rFonts w:ascii="Arial" w:hAnsi="Arial" w:cs="Arial"/>
          <w:sz w:val="24"/>
          <w:szCs w:val="24"/>
        </w:rPr>
        <w:t xml:space="preserve"> histopathologic characteristics of these cases.</w:t>
      </w:r>
    </w:p>
    <w:p w14:paraId="3E91448D" w14:textId="77777777" w:rsidR="00DF31BD" w:rsidRPr="008F20BC" w:rsidRDefault="00DF31BD" w:rsidP="008F20BC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65FF9955" w14:textId="465135F9" w:rsidR="000B6F39" w:rsidRPr="008F20BC" w:rsidRDefault="008F20BC" w:rsidP="008F20BC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8F20BC">
        <w:rPr>
          <w:rFonts w:ascii="Arial" w:hAnsi="Arial" w:cs="Arial"/>
          <w:b/>
          <w:bCs/>
          <w:sz w:val="24"/>
          <w:szCs w:val="24"/>
        </w:rPr>
        <w:t>Materials and methods</w:t>
      </w:r>
    </w:p>
    <w:p w14:paraId="7B1D544F" w14:textId="15F36690" w:rsidR="00AC203D" w:rsidRDefault="000F63E1" w:rsidP="008F20BC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study included </w:t>
      </w:r>
      <w:r w:rsidR="0075596C" w:rsidRPr="008F20BC">
        <w:rPr>
          <w:rFonts w:ascii="Arial" w:hAnsi="Arial" w:cs="Arial"/>
          <w:bCs/>
          <w:sz w:val="24"/>
          <w:szCs w:val="24"/>
        </w:rPr>
        <w:t>576</w:t>
      </w:r>
      <w:r w:rsidR="008115FD" w:rsidRPr="008F20BC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cases of </w:t>
      </w:r>
      <w:r w:rsidR="00096896">
        <w:rPr>
          <w:rFonts w:ascii="Arial" w:hAnsi="Arial" w:cs="Arial"/>
          <w:bCs/>
          <w:sz w:val="24"/>
          <w:szCs w:val="24"/>
        </w:rPr>
        <w:t>FL</w:t>
      </w:r>
      <w:r>
        <w:rPr>
          <w:rFonts w:ascii="Arial" w:hAnsi="Arial" w:cs="Arial"/>
          <w:bCs/>
          <w:sz w:val="24"/>
          <w:szCs w:val="24"/>
        </w:rPr>
        <w:t xml:space="preserve"> from 2 institutions - </w:t>
      </w:r>
      <w:r w:rsidR="008115FD" w:rsidRPr="008F20BC">
        <w:rPr>
          <w:rFonts w:ascii="Arial" w:hAnsi="Arial" w:cs="Arial"/>
          <w:sz w:val="24"/>
          <w:szCs w:val="24"/>
        </w:rPr>
        <w:t>University</w:t>
      </w:r>
      <w:r w:rsidR="000B6F39" w:rsidRPr="008F20BC">
        <w:rPr>
          <w:rFonts w:ascii="Arial" w:hAnsi="Arial" w:cs="Arial"/>
          <w:sz w:val="24"/>
          <w:szCs w:val="24"/>
        </w:rPr>
        <w:t xml:space="preserve"> of Michigan </w:t>
      </w:r>
      <w:r w:rsidR="00E335EB" w:rsidRPr="008F20BC">
        <w:rPr>
          <w:rFonts w:ascii="Arial" w:hAnsi="Arial" w:cs="Arial"/>
          <w:sz w:val="24"/>
          <w:szCs w:val="24"/>
        </w:rPr>
        <w:t>(</w:t>
      </w:r>
      <w:r w:rsidR="004B0766" w:rsidRPr="008F20BC">
        <w:rPr>
          <w:rFonts w:ascii="Arial" w:hAnsi="Arial" w:cs="Arial"/>
          <w:sz w:val="24"/>
          <w:szCs w:val="24"/>
        </w:rPr>
        <w:t xml:space="preserve">448 cases) </w:t>
      </w:r>
      <w:r w:rsidR="000B6F39" w:rsidRPr="008F20BC">
        <w:rPr>
          <w:rFonts w:ascii="Arial" w:hAnsi="Arial" w:cs="Arial"/>
          <w:sz w:val="24"/>
          <w:szCs w:val="24"/>
        </w:rPr>
        <w:t xml:space="preserve">and City of Hope National Medical </w:t>
      </w:r>
      <w:r>
        <w:rPr>
          <w:rFonts w:ascii="Arial" w:hAnsi="Arial" w:cs="Arial"/>
          <w:sz w:val="24"/>
          <w:szCs w:val="24"/>
        </w:rPr>
        <w:t>C</w:t>
      </w:r>
      <w:r w:rsidR="000B6F39" w:rsidRPr="008F20BC">
        <w:rPr>
          <w:rFonts w:ascii="Arial" w:hAnsi="Arial" w:cs="Arial"/>
          <w:sz w:val="24"/>
          <w:szCs w:val="24"/>
        </w:rPr>
        <w:t>enter</w:t>
      </w:r>
      <w:r w:rsidR="0075596C" w:rsidRPr="008F20BC">
        <w:rPr>
          <w:rFonts w:ascii="Arial" w:hAnsi="Arial" w:cs="Arial"/>
          <w:sz w:val="24"/>
          <w:szCs w:val="24"/>
        </w:rPr>
        <w:t xml:space="preserve"> (128</w:t>
      </w:r>
      <w:r w:rsidR="00E335EB" w:rsidRPr="008F20BC">
        <w:rPr>
          <w:rFonts w:ascii="Arial" w:hAnsi="Arial" w:cs="Arial"/>
          <w:sz w:val="24"/>
          <w:szCs w:val="24"/>
        </w:rPr>
        <w:t xml:space="preserve"> cases) from the </w:t>
      </w:r>
      <w:r>
        <w:rPr>
          <w:rFonts w:ascii="Arial" w:hAnsi="Arial" w:cs="Arial"/>
          <w:sz w:val="24"/>
          <w:szCs w:val="24"/>
        </w:rPr>
        <w:t>period of</w:t>
      </w:r>
      <w:r w:rsidR="00E335EB" w:rsidRPr="008F20BC">
        <w:rPr>
          <w:rFonts w:ascii="Arial" w:hAnsi="Arial" w:cs="Arial"/>
          <w:sz w:val="24"/>
          <w:szCs w:val="24"/>
        </w:rPr>
        <w:t xml:space="preserve"> 1991</w:t>
      </w:r>
      <w:r>
        <w:rPr>
          <w:rFonts w:ascii="Arial" w:hAnsi="Arial" w:cs="Arial"/>
          <w:sz w:val="24"/>
          <w:szCs w:val="24"/>
        </w:rPr>
        <w:t xml:space="preserve"> to </w:t>
      </w:r>
      <w:r w:rsidR="004B0766" w:rsidRPr="008F20BC">
        <w:rPr>
          <w:rFonts w:ascii="Arial" w:hAnsi="Arial" w:cs="Arial"/>
          <w:sz w:val="24"/>
          <w:szCs w:val="24"/>
        </w:rPr>
        <w:t>2011</w:t>
      </w:r>
      <w:r w:rsidR="000B6F39" w:rsidRPr="008F20BC">
        <w:rPr>
          <w:rFonts w:ascii="Arial" w:hAnsi="Arial" w:cs="Arial"/>
          <w:sz w:val="24"/>
          <w:szCs w:val="24"/>
        </w:rPr>
        <w:t>.</w:t>
      </w:r>
      <w:r w:rsidR="00AC203D">
        <w:rPr>
          <w:rFonts w:ascii="Arial" w:hAnsi="Arial" w:cs="Arial"/>
          <w:sz w:val="24"/>
          <w:szCs w:val="24"/>
        </w:rPr>
        <w:t xml:space="preserve"> FISH study for </w:t>
      </w:r>
      <w:r w:rsidR="00AC203D" w:rsidRPr="00AC203D">
        <w:rPr>
          <w:rFonts w:ascii="Arial" w:hAnsi="Arial" w:cs="Arial"/>
          <w:i/>
          <w:iCs/>
          <w:sz w:val="24"/>
          <w:szCs w:val="24"/>
        </w:rPr>
        <w:t>MYC</w:t>
      </w:r>
      <w:r w:rsidR="00AC203D">
        <w:rPr>
          <w:rFonts w:ascii="Arial" w:hAnsi="Arial" w:cs="Arial"/>
          <w:sz w:val="24"/>
          <w:szCs w:val="24"/>
        </w:rPr>
        <w:t xml:space="preserve"> rearrangement was performed on tissue microarrays. Cases positive for </w:t>
      </w:r>
      <w:r w:rsidR="00AC203D" w:rsidRPr="00AC203D">
        <w:rPr>
          <w:rFonts w:ascii="Arial" w:hAnsi="Arial" w:cs="Arial"/>
          <w:i/>
          <w:iCs/>
          <w:sz w:val="24"/>
          <w:szCs w:val="24"/>
        </w:rPr>
        <w:t>MYC</w:t>
      </w:r>
      <w:r w:rsidR="00AC203D">
        <w:rPr>
          <w:rFonts w:ascii="Arial" w:hAnsi="Arial" w:cs="Arial"/>
          <w:sz w:val="24"/>
          <w:szCs w:val="24"/>
        </w:rPr>
        <w:t xml:space="preserve"> rearrangement were FISH-ed for </w:t>
      </w:r>
      <w:r w:rsidR="00AC203D" w:rsidRPr="00AC203D">
        <w:rPr>
          <w:rFonts w:ascii="Arial" w:hAnsi="Arial" w:cs="Arial"/>
          <w:i/>
          <w:iCs/>
          <w:sz w:val="24"/>
          <w:szCs w:val="24"/>
        </w:rPr>
        <w:t>IGH/BCL2</w:t>
      </w:r>
      <w:r w:rsidR="00AC203D">
        <w:rPr>
          <w:rFonts w:ascii="Arial" w:hAnsi="Arial" w:cs="Arial"/>
          <w:sz w:val="24"/>
          <w:szCs w:val="24"/>
        </w:rPr>
        <w:t xml:space="preserve"> rearrangement; in cases that were negative for </w:t>
      </w:r>
      <w:r w:rsidR="00AC203D" w:rsidRPr="00AC203D">
        <w:rPr>
          <w:rFonts w:ascii="Arial" w:hAnsi="Arial" w:cs="Arial"/>
          <w:i/>
          <w:iCs/>
          <w:sz w:val="24"/>
          <w:szCs w:val="24"/>
        </w:rPr>
        <w:t>IGH/BCL2</w:t>
      </w:r>
      <w:r w:rsidR="00AC203D">
        <w:rPr>
          <w:rFonts w:ascii="Arial" w:hAnsi="Arial" w:cs="Arial"/>
          <w:i/>
          <w:iCs/>
          <w:sz w:val="24"/>
          <w:szCs w:val="24"/>
        </w:rPr>
        <w:t xml:space="preserve"> </w:t>
      </w:r>
      <w:r w:rsidR="00AC203D">
        <w:rPr>
          <w:rFonts w:ascii="Arial" w:hAnsi="Arial" w:cs="Arial"/>
          <w:sz w:val="24"/>
          <w:szCs w:val="24"/>
        </w:rPr>
        <w:t xml:space="preserve">rearrangement, FISH for </w:t>
      </w:r>
      <w:r w:rsidR="00AC203D" w:rsidRPr="00096896">
        <w:rPr>
          <w:rFonts w:ascii="Arial" w:hAnsi="Arial" w:cs="Arial"/>
          <w:i/>
          <w:iCs/>
          <w:sz w:val="24"/>
          <w:szCs w:val="24"/>
        </w:rPr>
        <w:t>BCL6</w:t>
      </w:r>
      <w:r w:rsidR="00AC203D">
        <w:rPr>
          <w:rFonts w:ascii="Arial" w:hAnsi="Arial" w:cs="Arial"/>
          <w:sz w:val="24"/>
          <w:szCs w:val="24"/>
        </w:rPr>
        <w:t xml:space="preserve"> rearrangement was performed. Furthermore, all the cases were graded and immunohistochemical stains for CD10, BCL6, BCL2, and C-MYC were performed and scored.</w:t>
      </w:r>
    </w:p>
    <w:p w14:paraId="30FFDC25" w14:textId="77777777" w:rsidR="000B6F39" w:rsidRPr="008F20BC" w:rsidRDefault="000B6F39" w:rsidP="008F20BC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62AD4C1C" w14:textId="77777777" w:rsidR="000B6F39" w:rsidRPr="00AC203D" w:rsidRDefault="000B6F39" w:rsidP="008F20BC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AC203D">
        <w:rPr>
          <w:rFonts w:ascii="Arial" w:hAnsi="Arial" w:cs="Arial"/>
          <w:b/>
          <w:bCs/>
          <w:sz w:val="24"/>
          <w:szCs w:val="24"/>
        </w:rPr>
        <w:t>Results</w:t>
      </w:r>
    </w:p>
    <w:p w14:paraId="0F429B67" w14:textId="14635015" w:rsidR="00A8726D" w:rsidRDefault="00AC203D" w:rsidP="008F20BC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FISH study for </w:t>
      </w:r>
      <w:r w:rsidRPr="00AC203D">
        <w:rPr>
          <w:rFonts w:ascii="Arial" w:hAnsi="Arial" w:cs="Arial"/>
          <w:i/>
          <w:iCs/>
          <w:sz w:val="24"/>
          <w:szCs w:val="24"/>
        </w:rPr>
        <w:t xml:space="preserve">MYC </w:t>
      </w:r>
      <w:r>
        <w:rPr>
          <w:rFonts w:ascii="Arial" w:hAnsi="Arial" w:cs="Arial"/>
          <w:sz w:val="24"/>
          <w:szCs w:val="24"/>
        </w:rPr>
        <w:t>rearrangement was successfully performed</w:t>
      </w:r>
      <w:r w:rsidR="00A8726D">
        <w:rPr>
          <w:rFonts w:ascii="Arial" w:hAnsi="Arial" w:cs="Arial"/>
          <w:sz w:val="24"/>
          <w:szCs w:val="24"/>
        </w:rPr>
        <w:t xml:space="preserve"> and scored</w:t>
      </w:r>
      <w:r>
        <w:rPr>
          <w:rFonts w:ascii="Arial" w:hAnsi="Arial" w:cs="Arial"/>
          <w:sz w:val="24"/>
          <w:szCs w:val="24"/>
        </w:rPr>
        <w:t xml:space="preserve"> on 4</w:t>
      </w:r>
      <w:r w:rsidR="002274A0"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>/576 cases and 10 cases were positive</w:t>
      </w:r>
      <w:r w:rsidR="002274A0">
        <w:rPr>
          <w:rFonts w:ascii="Arial" w:hAnsi="Arial" w:cs="Arial"/>
          <w:sz w:val="24"/>
          <w:szCs w:val="24"/>
        </w:rPr>
        <w:t xml:space="preserve"> for rearrangement (relative frequency 2.3%). Average number of </w:t>
      </w:r>
      <w:r w:rsidR="002274A0" w:rsidRPr="00096896">
        <w:rPr>
          <w:rFonts w:ascii="Arial" w:hAnsi="Arial" w:cs="Arial"/>
          <w:i/>
          <w:iCs/>
          <w:sz w:val="24"/>
          <w:szCs w:val="24"/>
        </w:rPr>
        <w:t>MYC</w:t>
      </w:r>
      <w:r w:rsidR="002274A0">
        <w:rPr>
          <w:rFonts w:ascii="Arial" w:hAnsi="Arial" w:cs="Arial"/>
          <w:sz w:val="24"/>
          <w:szCs w:val="24"/>
        </w:rPr>
        <w:t xml:space="preserve"> rearranged cells was 66.3% (range 33-82%).</w:t>
      </w:r>
      <w:r w:rsidR="002274A0" w:rsidRPr="002274A0">
        <w:rPr>
          <w:rFonts w:ascii="Arial" w:hAnsi="Arial" w:cs="Arial"/>
          <w:i/>
          <w:iCs/>
          <w:sz w:val="24"/>
          <w:szCs w:val="24"/>
        </w:rPr>
        <w:t xml:space="preserve"> </w:t>
      </w:r>
      <w:r w:rsidR="002274A0">
        <w:rPr>
          <w:rFonts w:ascii="Arial" w:hAnsi="Arial" w:cs="Arial"/>
          <w:sz w:val="24"/>
          <w:szCs w:val="24"/>
        </w:rPr>
        <w:t xml:space="preserve"> In 10 positive cases, median </w:t>
      </w:r>
      <w:r w:rsidR="00E335EB" w:rsidRPr="008F20BC">
        <w:rPr>
          <w:rFonts w:ascii="Arial" w:hAnsi="Arial" w:cs="Arial"/>
          <w:sz w:val="24"/>
          <w:szCs w:val="24"/>
        </w:rPr>
        <w:t>patient</w:t>
      </w:r>
      <w:r w:rsidR="002274A0">
        <w:rPr>
          <w:rFonts w:ascii="Arial" w:hAnsi="Arial" w:cs="Arial"/>
          <w:sz w:val="24"/>
          <w:szCs w:val="24"/>
        </w:rPr>
        <w:t>s’</w:t>
      </w:r>
      <w:r w:rsidR="00E335EB" w:rsidRPr="008F20BC">
        <w:rPr>
          <w:rFonts w:ascii="Arial" w:hAnsi="Arial" w:cs="Arial"/>
          <w:sz w:val="24"/>
          <w:szCs w:val="24"/>
        </w:rPr>
        <w:t xml:space="preserve"> age </w:t>
      </w:r>
      <w:r w:rsidR="002274A0">
        <w:rPr>
          <w:rFonts w:ascii="Arial" w:hAnsi="Arial" w:cs="Arial"/>
          <w:sz w:val="24"/>
          <w:szCs w:val="24"/>
        </w:rPr>
        <w:t>was 73.5 years (</w:t>
      </w:r>
      <w:r w:rsidR="00E335EB" w:rsidRPr="008F20BC">
        <w:rPr>
          <w:rFonts w:ascii="Arial" w:hAnsi="Arial" w:cs="Arial"/>
          <w:sz w:val="24"/>
          <w:szCs w:val="24"/>
        </w:rPr>
        <w:t>range</w:t>
      </w:r>
      <w:r w:rsidR="00A8726D">
        <w:rPr>
          <w:rFonts w:ascii="Arial" w:hAnsi="Arial" w:cs="Arial"/>
          <w:sz w:val="24"/>
          <w:szCs w:val="24"/>
        </w:rPr>
        <w:t>,</w:t>
      </w:r>
      <w:r w:rsidR="002274A0">
        <w:rPr>
          <w:rFonts w:ascii="Arial" w:hAnsi="Arial" w:cs="Arial"/>
          <w:sz w:val="24"/>
          <w:szCs w:val="24"/>
        </w:rPr>
        <w:t xml:space="preserve"> </w:t>
      </w:r>
      <w:r w:rsidR="00E335EB" w:rsidRPr="008F20BC">
        <w:rPr>
          <w:rFonts w:ascii="Arial" w:hAnsi="Arial" w:cs="Arial"/>
          <w:sz w:val="24"/>
          <w:szCs w:val="24"/>
        </w:rPr>
        <w:t>39</w:t>
      </w:r>
      <w:r w:rsidR="002274A0">
        <w:rPr>
          <w:rFonts w:ascii="Arial" w:hAnsi="Arial" w:cs="Arial"/>
          <w:sz w:val="24"/>
          <w:szCs w:val="24"/>
        </w:rPr>
        <w:t>-</w:t>
      </w:r>
      <w:r w:rsidR="00E335EB" w:rsidRPr="008F20BC">
        <w:rPr>
          <w:rFonts w:ascii="Arial" w:hAnsi="Arial" w:cs="Arial"/>
          <w:sz w:val="24"/>
          <w:szCs w:val="24"/>
        </w:rPr>
        <w:t>87 years</w:t>
      </w:r>
      <w:r w:rsidR="002274A0">
        <w:rPr>
          <w:rFonts w:ascii="Arial" w:hAnsi="Arial" w:cs="Arial"/>
          <w:sz w:val="24"/>
          <w:szCs w:val="24"/>
        </w:rPr>
        <w:t>), with a</w:t>
      </w:r>
      <w:r w:rsidR="00E335EB" w:rsidRPr="008F20BC">
        <w:rPr>
          <w:rFonts w:ascii="Arial" w:hAnsi="Arial" w:cs="Arial"/>
          <w:sz w:val="24"/>
          <w:szCs w:val="24"/>
        </w:rPr>
        <w:t xml:space="preserve"> </w:t>
      </w:r>
      <w:r w:rsidR="002274A0">
        <w:rPr>
          <w:rFonts w:ascii="Arial" w:hAnsi="Arial" w:cs="Arial"/>
          <w:sz w:val="24"/>
          <w:szCs w:val="24"/>
        </w:rPr>
        <w:t>m</w:t>
      </w:r>
      <w:r w:rsidR="00E335EB" w:rsidRPr="008F20BC">
        <w:rPr>
          <w:rFonts w:ascii="Arial" w:hAnsi="Arial" w:cs="Arial"/>
          <w:sz w:val="24"/>
          <w:szCs w:val="24"/>
        </w:rPr>
        <w:t>ale</w:t>
      </w:r>
      <w:r w:rsidR="002274A0">
        <w:rPr>
          <w:rFonts w:ascii="Arial" w:hAnsi="Arial" w:cs="Arial"/>
          <w:sz w:val="24"/>
          <w:szCs w:val="24"/>
        </w:rPr>
        <w:t>-to-</w:t>
      </w:r>
      <w:r w:rsidR="00E335EB" w:rsidRPr="008F20BC">
        <w:rPr>
          <w:rFonts w:ascii="Arial" w:hAnsi="Arial" w:cs="Arial"/>
          <w:sz w:val="24"/>
          <w:szCs w:val="24"/>
        </w:rPr>
        <w:t xml:space="preserve">female ratio </w:t>
      </w:r>
      <w:r w:rsidR="002274A0">
        <w:rPr>
          <w:rFonts w:ascii="Arial" w:hAnsi="Arial" w:cs="Arial"/>
          <w:sz w:val="24"/>
          <w:szCs w:val="24"/>
        </w:rPr>
        <w:t xml:space="preserve">of </w:t>
      </w:r>
      <w:r w:rsidR="00E335EB" w:rsidRPr="008F20BC">
        <w:rPr>
          <w:rFonts w:ascii="Arial" w:hAnsi="Arial" w:cs="Arial"/>
          <w:sz w:val="24"/>
          <w:szCs w:val="24"/>
        </w:rPr>
        <w:t>4:1</w:t>
      </w:r>
      <w:r w:rsidR="004B0766" w:rsidRPr="008F20BC">
        <w:rPr>
          <w:rFonts w:ascii="Arial" w:hAnsi="Arial" w:cs="Arial"/>
          <w:sz w:val="24"/>
          <w:szCs w:val="24"/>
        </w:rPr>
        <w:t xml:space="preserve">. </w:t>
      </w:r>
      <w:r w:rsidR="002274A0">
        <w:rPr>
          <w:rFonts w:ascii="Arial" w:hAnsi="Arial" w:cs="Arial"/>
          <w:sz w:val="24"/>
          <w:szCs w:val="24"/>
        </w:rPr>
        <w:t>Histologically, 6/10 cases were grade 1-2/3, and 4 cases were grade 3A. One grade 3A case had</w:t>
      </w:r>
      <w:r w:rsidR="00A8726D">
        <w:rPr>
          <w:rFonts w:ascii="Arial" w:hAnsi="Arial" w:cs="Arial"/>
          <w:sz w:val="24"/>
          <w:szCs w:val="24"/>
        </w:rPr>
        <w:t xml:space="preserve"> a</w:t>
      </w:r>
      <w:r w:rsidR="002274A0">
        <w:rPr>
          <w:rFonts w:ascii="Arial" w:hAnsi="Arial" w:cs="Arial"/>
          <w:sz w:val="24"/>
          <w:szCs w:val="24"/>
        </w:rPr>
        <w:t xml:space="preserve"> minor component of diffuse large B-cell lymphoma.</w:t>
      </w:r>
      <w:r w:rsidR="00A8726D">
        <w:rPr>
          <w:rFonts w:ascii="Arial" w:hAnsi="Arial" w:cs="Arial"/>
          <w:sz w:val="24"/>
          <w:szCs w:val="24"/>
        </w:rPr>
        <w:t xml:space="preserve"> By immunohistochemistry, 9 cases were CD10+ (no tissue on 1 case), all cases were BCL6+, and 9/10 cases were BCL2+. C-MYC staining was low in all cases, 5% on average (range 5-20%). </w:t>
      </w:r>
      <w:r w:rsidR="00A8726D" w:rsidRPr="00A8726D">
        <w:rPr>
          <w:rFonts w:ascii="Arial" w:hAnsi="Arial" w:cs="Arial"/>
          <w:i/>
          <w:iCs/>
          <w:sz w:val="24"/>
          <w:szCs w:val="24"/>
        </w:rPr>
        <w:t>IGH/BCL2</w:t>
      </w:r>
      <w:r w:rsidR="00A8726D">
        <w:rPr>
          <w:rFonts w:ascii="Arial" w:hAnsi="Arial" w:cs="Arial"/>
          <w:sz w:val="24"/>
          <w:szCs w:val="24"/>
        </w:rPr>
        <w:t xml:space="preserve"> rearrangement was detected in 6/9 FISH-ed cases, while </w:t>
      </w:r>
      <w:r w:rsidR="00A8726D" w:rsidRPr="00A8726D">
        <w:rPr>
          <w:rFonts w:ascii="Arial" w:hAnsi="Arial" w:cs="Arial"/>
          <w:i/>
          <w:iCs/>
          <w:sz w:val="24"/>
          <w:szCs w:val="24"/>
        </w:rPr>
        <w:t>BCL6</w:t>
      </w:r>
      <w:r w:rsidR="00A8726D">
        <w:rPr>
          <w:rFonts w:ascii="Arial" w:hAnsi="Arial" w:cs="Arial"/>
          <w:sz w:val="24"/>
          <w:szCs w:val="24"/>
        </w:rPr>
        <w:t xml:space="preserve"> rearrangement was detected in 1/3 </w:t>
      </w:r>
      <w:r w:rsidR="00A8726D" w:rsidRPr="00A8726D">
        <w:rPr>
          <w:rFonts w:ascii="Arial" w:hAnsi="Arial" w:cs="Arial"/>
          <w:i/>
          <w:iCs/>
          <w:sz w:val="24"/>
          <w:szCs w:val="24"/>
        </w:rPr>
        <w:t>IGH/BCL2</w:t>
      </w:r>
      <w:r w:rsidR="00A8726D">
        <w:rPr>
          <w:rFonts w:ascii="Arial" w:hAnsi="Arial" w:cs="Arial"/>
          <w:sz w:val="24"/>
          <w:szCs w:val="24"/>
        </w:rPr>
        <w:t>-negative cases.</w:t>
      </w:r>
    </w:p>
    <w:p w14:paraId="051E21AF" w14:textId="77777777" w:rsidR="002274A0" w:rsidRDefault="002274A0" w:rsidP="008F20BC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20A24F31" w14:textId="77777777" w:rsidR="002274A0" w:rsidRDefault="002274A0" w:rsidP="008F20BC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18A8FBF4" w14:textId="61D5E73A" w:rsidR="0001390E" w:rsidRDefault="0001390E" w:rsidP="00A8726D">
      <w:pPr>
        <w:shd w:val="clear" w:color="auto" w:fill="FFFFFF"/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66147575" w14:textId="77777777" w:rsidR="00A8726D" w:rsidRPr="008F20BC" w:rsidRDefault="00A8726D" w:rsidP="00A8726D">
      <w:pPr>
        <w:shd w:val="clear" w:color="auto" w:fill="FFFFFF"/>
        <w:spacing w:after="0" w:line="240" w:lineRule="auto"/>
        <w:contextualSpacing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25D67404" w14:textId="77777777" w:rsidR="00E16DDE" w:rsidRPr="008F20BC" w:rsidRDefault="00E16DDE" w:rsidP="008F20BC">
      <w:pPr>
        <w:shd w:val="clear" w:color="auto" w:fill="FFFFFF"/>
        <w:spacing w:after="0" w:line="240" w:lineRule="auto"/>
        <w:contextualSpacing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F20BC">
        <w:rPr>
          <w:rFonts w:ascii="Arial" w:eastAsia="Times New Roman" w:hAnsi="Arial" w:cs="Arial"/>
          <w:b/>
          <w:bCs/>
          <w:color w:val="222222"/>
          <w:sz w:val="24"/>
          <w:szCs w:val="24"/>
        </w:rPr>
        <w:t> </w:t>
      </w:r>
    </w:p>
    <w:p w14:paraId="2F2D9605" w14:textId="77777777" w:rsidR="000B6F39" w:rsidRPr="00A8726D" w:rsidRDefault="000B6F39" w:rsidP="008F20BC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5B03DB88" w14:textId="77777777" w:rsidR="000F3E29" w:rsidRDefault="000F3E29" w:rsidP="008F20BC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18C32302" w14:textId="77777777" w:rsidR="000F3E29" w:rsidRDefault="000F3E29" w:rsidP="008F20BC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02E10C1F" w14:textId="3E09CB25" w:rsidR="000B6F39" w:rsidRPr="00A8726D" w:rsidRDefault="000B6F39" w:rsidP="008F20BC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  <w:bookmarkStart w:id="0" w:name="_GoBack"/>
      <w:r w:rsidRPr="00A8726D">
        <w:rPr>
          <w:rFonts w:ascii="Arial" w:hAnsi="Arial" w:cs="Arial"/>
          <w:b/>
          <w:bCs/>
          <w:sz w:val="24"/>
          <w:szCs w:val="24"/>
        </w:rPr>
        <w:lastRenderedPageBreak/>
        <w:t>Conclusion</w:t>
      </w:r>
      <w:r w:rsidR="00A8726D" w:rsidRPr="00A8726D">
        <w:rPr>
          <w:rFonts w:ascii="Arial" w:hAnsi="Arial" w:cs="Arial"/>
          <w:b/>
          <w:bCs/>
          <w:sz w:val="24"/>
          <w:szCs w:val="24"/>
        </w:rPr>
        <w:t>s</w:t>
      </w:r>
    </w:p>
    <w:p w14:paraId="33EE3DE0" w14:textId="0DE0558A" w:rsidR="00A8726D" w:rsidRPr="000F3E29" w:rsidRDefault="00924ACA" w:rsidP="008F20BC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  <w:u w:val="single"/>
        </w:rPr>
      </w:pPr>
      <w:r w:rsidRPr="00A8726D">
        <w:rPr>
          <w:rFonts w:ascii="Arial" w:hAnsi="Arial" w:cs="Arial"/>
          <w:i/>
          <w:iCs/>
          <w:sz w:val="24"/>
          <w:szCs w:val="24"/>
        </w:rPr>
        <w:t xml:space="preserve">MYC </w:t>
      </w:r>
      <w:r w:rsidRPr="008F20BC">
        <w:rPr>
          <w:rFonts w:ascii="Arial" w:hAnsi="Arial" w:cs="Arial"/>
          <w:sz w:val="24"/>
          <w:szCs w:val="24"/>
        </w:rPr>
        <w:t>rearrangement i</w:t>
      </w:r>
      <w:r w:rsidR="00A8726D">
        <w:rPr>
          <w:rFonts w:ascii="Arial" w:hAnsi="Arial" w:cs="Arial"/>
          <w:sz w:val="24"/>
          <w:szCs w:val="24"/>
        </w:rPr>
        <w:t>s rarely seen in</w:t>
      </w:r>
      <w:r w:rsidRPr="008F20BC">
        <w:rPr>
          <w:rFonts w:ascii="Arial" w:hAnsi="Arial" w:cs="Arial"/>
          <w:sz w:val="24"/>
          <w:szCs w:val="24"/>
        </w:rPr>
        <w:t xml:space="preserve"> </w:t>
      </w:r>
      <w:r w:rsidR="00096896">
        <w:rPr>
          <w:rFonts w:ascii="Arial" w:hAnsi="Arial" w:cs="Arial"/>
          <w:sz w:val="24"/>
          <w:szCs w:val="24"/>
        </w:rPr>
        <w:t>FL</w:t>
      </w:r>
      <w:r w:rsidR="00A8726D">
        <w:rPr>
          <w:rFonts w:ascii="Arial" w:hAnsi="Arial" w:cs="Arial"/>
          <w:sz w:val="24"/>
          <w:szCs w:val="24"/>
        </w:rPr>
        <w:t xml:space="preserve">, with </w:t>
      </w:r>
      <w:r w:rsidR="00096896">
        <w:rPr>
          <w:rFonts w:ascii="Arial" w:hAnsi="Arial" w:cs="Arial"/>
          <w:sz w:val="24"/>
          <w:szCs w:val="24"/>
        </w:rPr>
        <w:t xml:space="preserve">a </w:t>
      </w:r>
      <w:r w:rsidR="00A8726D">
        <w:rPr>
          <w:rFonts w:ascii="Arial" w:hAnsi="Arial" w:cs="Arial"/>
          <w:sz w:val="24"/>
          <w:szCs w:val="24"/>
        </w:rPr>
        <w:t>relative frequency of 2.3% in our study, and</w:t>
      </w:r>
      <w:r w:rsidRPr="008F20BC">
        <w:rPr>
          <w:rFonts w:ascii="Arial" w:hAnsi="Arial" w:cs="Arial"/>
          <w:sz w:val="24"/>
          <w:szCs w:val="24"/>
        </w:rPr>
        <w:t xml:space="preserve"> </w:t>
      </w:r>
      <w:r w:rsidR="00A8726D">
        <w:rPr>
          <w:rFonts w:ascii="Arial" w:hAnsi="Arial" w:cs="Arial"/>
          <w:sz w:val="24"/>
          <w:szCs w:val="24"/>
        </w:rPr>
        <w:t xml:space="preserve">it is mostly detected in older patients. </w:t>
      </w:r>
      <w:r w:rsidR="00096896">
        <w:rPr>
          <w:rFonts w:ascii="Arial" w:hAnsi="Arial" w:cs="Arial"/>
          <w:sz w:val="24"/>
          <w:szCs w:val="24"/>
        </w:rPr>
        <w:t xml:space="preserve">It is seen in both, grades 1-2, as well as 3A and these cases exhibit typical immunophenotype (CD10+, BCL6+, BCL2+). Most cases, as expected, also have </w:t>
      </w:r>
      <w:r w:rsidR="00096896" w:rsidRPr="00A8726D">
        <w:rPr>
          <w:rFonts w:ascii="Arial" w:hAnsi="Arial" w:cs="Arial"/>
          <w:i/>
          <w:iCs/>
          <w:sz w:val="24"/>
          <w:szCs w:val="24"/>
        </w:rPr>
        <w:t>IGH/BCL2</w:t>
      </w:r>
      <w:r w:rsidR="00096896">
        <w:rPr>
          <w:rFonts w:ascii="Arial" w:hAnsi="Arial" w:cs="Arial"/>
          <w:i/>
          <w:iCs/>
          <w:sz w:val="24"/>
          <w:szCs w:val="24"/>
        </w:rPr>
        <w:t xml:space="preserve"> </w:t>
      </w:r>
      <w:r w:rsidR="00096896">
        <w:rPr>
          <w:rFonts w:ascii="Arial" w:hAnsi="Arial" w:cs="Arial"/>
          <w:sz w:val="24"/>
          <w:szCs w:val="24"/>
        </w:rPr>
        <w:t xml:space="preserve">rearrangement. In summary, </w:t>
      </w:r>
      <w:r w:rsidR="00096896" w:rsidRPr="00096896">
        <w:rPr>
          <w:rFonts w:ascii="Arial" w:hAnsi="Arial" w:cs="Arial"/>
          <w:i/>
          <w:iCs/>
          <w:sz w:val="24"/>
          <w:szCs w:val="24"/>
        </w:rPr>
        <w:t>MYC</w:t>
      </w:r>
      <w:r w:rsidR="00096896">
        <w:rPr>
          <w:rFonts w:ascii="Arial" w:hAnsi="Arial" w:cs="Arial"/>
          <w:sz w:val="24"/>
          <w:szCs w:val="24"/>
        </w:rPr>
        <w:t xml:space="preserve"> rearranged </w:t>
      </w:r>
      <w:r w:rsidR="00096896" w:rsidRPr="000F3E29">
        <w:rPr>
          <w:rFonts w:ascii="Arial" w:hAnsi="Arial" w:cs="Arial"/>
          <w:sz w:val="24"/>
          <w:szCs w:val="24"/>
        </w:rPr>
        <w:t>FL</w:t>
      </w:r>
      <w:r w:rsidR="00096896">
        <w:rPr>
          <w:rFonts w:ascii="Arial" w:hAnsi="Arial" w:cs="Arial"/>
          <w:sz w:val="24"/>
          <w:szCs w:val="24"/>
        </w:rPr>
        <w:t xml:space="preserve"> cases </w:t>
      </w:r>
      <w:r w:rsidR="000F3E29">
        <w:rPr>
          <w:rFonts w:ascii="Arial" w:hAnsi="Arial" w:cs="Arial"/>
          <w:sz w:val="24"/>
          <w:szCs w:val="24"/>
        </w:rPr>
        <w:t>do not appear to have specific histologic characteristics, such as histologic features that would suggest more aggressive clinical behavior.</w:t>
      </w:r>
    </w:p>
    <w:bookmarkEnd w:id="0"/>
    <w:p w14:paraId="14283650" w14:textId="77777777" w:rsidR="000B6F39" w:rsidRPr="008F20BC" w:rsidRDefault="000B6F39" w:rsidP="008F20BC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65B86491" w14:textId="77777777" w:rsidR="000B6F39" w:rsidRPr="008F20BC" w:rsidRDefault="000B6F39" w:rsidP="008F20BC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6DF6EFC8" w14:textId="77777777" w:rsidR="000B6F39" w:rsidRPr="008F20BC" w:rsidRDefault="000B6F39" w:rsidP="008F20BC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sectPr w:rsidR="000B6F39" w:rsidRPr="008F20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23CA1" w14:textId="77777777" w:rsidR="006611E6" w:rsidRDefault="006611E6" w:rsidP="00E16DDE">
      <w:pPr>
        <w:spacing w:after="0" w:line="240" w:lineRule="auto"/>
      </w:pPr>
      <w:r>
        <w:separator/>
      </w:r>
    </w:p>
  </w:endnote>
  <w:endnote w:type="continuationSeparator" w:id="0">
    <w:p w14:paraId="73373B49" w14:textId="77777777" w:rsidR="006611E6" w:rsidRDefault="006611E6" w:rsidP="00E16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F056E9" w14:textId="77777777" w:rsidR="006611E6" w:rsidRDefault="006611E6" w:rsidP="00E16DDE">
      <w:pPr>
        <w:spacing w:after="0" w:line="240" w:lineRule="auto"/>
      </w:pPr>
      <w:r>
        <w:separator/>
      </w:r>
    </w:p>
  </w:footnote>
  <w:footnote w:type="continuationSeparator" w:id="0">
    <w:p w14:paraId="4C9194E0" w14:textId="77777777" w:rsidR="006611E6" w:rsidRDefault="006611E6" w:rsidP="00E16D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E2724"/>
    <w:multiLevelType w:val="hybridMultilevel"/>
    <w:tmpl w:val="A97EF608"/>
    <w:lvl w:ilvl="0" w:tplc="3AB6C9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EE0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525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28F9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20D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2C31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B052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2832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06E2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09C2826"/>
    <w:multiLevelType w:val="hybridMultilevel"/>
    <w:tmpl w:val="E7EE1DCE"/>
    <w:lvl w:ilvl="0" w:tplc="DC2653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CA34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363A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5CD0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346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963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503C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A031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68D8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C6D14BD"/>
    <w:multiLevelType w:val="hybridMultilevel"/>
    <w:tmpl w:val="A7A4EC9A"/>
    <w:lvl w:ilvl="0" w:tplc="549A16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A4C9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5A6C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09D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824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4001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08F3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D2BF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62BC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72C5690"/>
    <w:multiLevelType w:val="hybridMultilevel"/>
    <w:tmpl w:val="169826A4"/>
    <w:lvl w:ilvl="0" w:tplc="BB0EAB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7092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AA47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FE5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C49A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5899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8E6D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203C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8EB8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AB63201"/>
    <w:multiLevelType w:val="hybridMultilevel"/>
    <w:tmpl w:val="05C0E3E2"/>
    <w:lvl w:ilvl="0" w:tplc="E2CC27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FAD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5E1C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DE8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86E8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D04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0A9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CCDF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96DA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696"/>
    <w:rsid w:val="0001390E"/>
    <w:rsid w:val="00096896"/>
    <w:rsid w:val="000B1E98"/>
    <w:rsid w:val="000B6F39"/>
    <w:rsid w:val="000D312F"/>
    <w:rsid w:val="000F2DA5"/>
    <w:rsid w:val="000F3E29"/>
    <w:rsid w:val="000F63E1"/>
    <w:rsid w:val="00200F9E"/>
    <w:rsid w:val="00202264"/>
    <w:rsid w:val="00227050"/>
    <w:rsid w:val="002274A0"/>
    <w:rsid w:val="00455198"/>
    <w:rsid w:val="00462B5C"/>
    <w:rsid w:val="004B0766"/>
    <w:rsid w:val="005863F6"/>
    <w:rsid w:val="005E3696"/>
    <w:rsid w:val="006121DF"/>
    <w:rsid w:val="006122FE"/>
    <w:rsid w:val="006611E6"/>
    <w:rsid w:val="0075596C"/>
    <w:rsid w:val="008115FD"/>
    <w:rsid w:val="008435C5"/>
    <w:rsid w:val="008A6AD9"/>
    <w:rsid w:val="008D32D3"/>
    <w:rsid w:val="008F20BC"/>
    <w:rsid w:val="00924ACA"/>
    <w:rsid w:val="00972C3E"/>
    <w:rsid w:val="00A41F64"/>
    <w:rsid w:val="00A763DC"/>
    <w:rsid w:val="00A8726D"/>
    <w:rsid w:val="00A94D65"/>
    <w:rsid w:val="00AB1435"/>
    <w:rsid w:val="00AC203D"/>
    <w:rsid w:val="00AE4D94"/>
    <w:rsid w:val="00AF6053"/>
    <w:rsid w:val="00BF2A6A"/>
    <w:rsid w:val="00C21492"/>
    <w:rsid w:val="00CA2F81"/>
    <w:rsid w:val="00D63C71"/>
    <w:rsid w:val="00DD3434"/>
    <w:rsid w:val="00DF1743"/>
    <w:rsid w:val="00DF31BD"/>
    <w:rsid w:val="00E16DDE"/>
    <w:rsid w:val="00E23CAD"/>
    <w:rsid w:val="00E335EB"/>
    <w:rsid w:val="00E56666"/>
    <w:rsid w:val="00E604AA"/>
    <w:rsid w:val="00F5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376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F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16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DDE"/>
  </w:style>
  <w:style w:type="paragraph" w:styleId="Footer">
    <w:name w:val="footer"/>
    <w:basedOn w:val="Normal"/>
    <w:link w:val="FooterChar"/>
    <w:uiPriority w:val="99"/>
    <w:unhideWhenUsed/>
    <w:rsid w:val="00E16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DDE"/>
  </w:style>
  <w:style w:type="paragraph" w:styleId="BalloonText">
    <w:name w:val="Balloon Text"/>
    <w:basedOn w:val="Normal"/>
    <w:link w:val="BalloonTextChar"/>
    <w:uiPriority w:val="99"/>
    <w:semiHidden/>
    <w:unhideWhenUsed/>
    <w:rsid w:val="00E16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DDE"/>
    <w:rPr>
      <w:rFonts w:ascii="Tahoma" w:hAnsi="Tahoma" w:cs="Tahoma"/>
      <w:sz w:val="16"/>
      <w:szCs w:val="16"/>
    </w:rPr>
  </w:style>
  <w:style w:type="paragraph" w:customStyle="1" w:styleId="m7879629833217755668msolistparagraph">
    <w:name w:val="m_7879629833217755668msolistparagraph"/>
    <w:basedOn w:val="Normal"/>
    <w:rsid w:val="00E16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F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16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DDE"/>
  </w:style>
  <w:style w:type="paragraph" w:styleId="Footer">
    <w:name w:val="footer"/>
    <w:basedOn w:val="Normal"/>
    <w:link w:val="FooterChar"/>
    <w:uiPriority w:val="99"/>
    <w:unhideWhenUsed/>
    <w:rsid w:val="00E16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DDE"/>
  </w:style>
  <w:style w:type="paragraph" w:styleId="BalloonText">
    <w:name w:val="Balloon Text"/>
    <w:basedOn w:val="Normal"/>
    <w:link w:val="BalloonTextChar"/>
    <w:uiPriority w:val="99"/>
    <w:semiHidden/>
    <w:unhideWhenUsed/>
    <w:rsid w:val="00E16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DDE"/>
    <w:rPr>
      <w:rFonts w:ascii="Tahoma" w:hAnsi="Tahoma" w:cs="Tahoma"/>
      <w:sz w:val="16"/>
      <w:szCs w:val="16"/>
    </w:rPr>
  </w:style>
  <w:style w:type="paragraph" w:customStyle="1" w:styleId="m7879629833217755668msolistparagraph">
    <w:name w:val="m_7879629833217755668msolistparagraph"/>
    <w:basedOn w:val="Normal"/>
    <w:rsid w:val="00E16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2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50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712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63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493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28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3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120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10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2020-02-11T16:26:00Z</dcterms:created>
  <dcterms:modified xsi:type="dcterms:W3CDTF">2020-02-11T21:06:00Z</dcterms:modified>
</cp:coreProperties>
</file>