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05AEBF" w14:textId="77777777" w:rsidR="00477661" w:rsidRPr="00901043" w:rsidRDefault="00477661" w:rsidP="00477661">
      <w:pPr>
        <w:spacing w:line="360" w:lineRule="auto"/>
        <w:jc w:val="center"/>
        <w:rPr>
          <w:rFonts w:ascii="Times New Roman" w:eastAsia="宋体" w:hAnsi="Times New Roman" w:cs="Times New Roman"/>
          <w:b/>
          <w:szCs w:val="21"/>
        </w:rPr>
      </w:pPr>
      <w:r w:rsidRPr="00901043">
        <w:rPr>
          <w:rFonts w:ascii="Times New Roman" w:eastAsia="宋体" w:hAnsi="Times New Roman" w:cs="Times New Roman"/>
          <w:b/>
          <w:szCs w:val="21"/>
        </w:rPr>
        <w:t>High consumption of whole grain foods decreases the risk of dementia and Alzheimer's disease: Framingham</w:t>
      </w:r>
      <w:r w:rsidRPr="00901043">
        <w:rPr>
          <w:rFonts w:ascii="Times New Roman" w:eastAsia="宋体" w:hAnsi="Times New Roman" w:cs="Times New Roman" w:hint="eastAsia"/>
          <w:b/>
          <w:szCs w:val="21"/>
        </w:rPr>
        <w:t xml:space="preserve"> </w:t>
      </w:r>
      <w:r w:rsidRPr="00901043">
        <w:rPr>
          <w:rFonts w:ascii="Times New Roman" w:eastAsia="宋体" w:hAnsi="Times New Roman" w:cs="Times New Roman"/>
          <w:b/>
          <w:szCs w:val="21"/>
        </w:rPr>
        <w:t>Offspring Cohort</w:t>
      </w:r>
    </w:p>
    <w:p w14:paraId="0D0DBB38" w14:textId="77777777" w:rsidR="00477661" w:rsidRPr="00901043" w:rsidRDefault="00477661" w:rsidP="00477661">
      <w:pPr>
        <w:spacing w:line="360" w:lineRule="auto"/>
        <w:rPr>
          <w:rFonts w:ascii="Times New Roman" w:hAnsi="Times New Roman" w:cs="Times New Roman"/>
          <w:b/>
          <w:szCs w:val="21"/>
        </w:rPr>
      </w:pPr>
      <w:r w:rsidRPr="00901043">
        <w:rPr>
          <w:rFonts w:ascii="Times New Roman" w:eastAsia="宋体" w:hAnsi="Times New Roman" w:cs="Times New Roman"/>
          <w:b/>
          <w:szCs w:val="21"/>
        </w:rPr>
        <w:t xml:space="preserve">Running title: </w:t>
      </w:r>
      <w:r w:rsidRPr="00901043">
        <w:rPr>
          <w:rFonts w:ascii="Times New Roman" w:eastAsia="TradeGothicLTStd" w:hAnsi="Times New Roman" w:cs="Times New Roman"/>
          <w:szCs w:val="21"/>
        </w:rPr>
        <w:t>WG foods and dementia</w:t>
      </w:r>
    </w:p>
    <w:p w14:paraId="62D40120" w14:textId="77777777" w:rsidR="00477661" w:rsidRPr="00901043" w:rsidRDefault="00477661" w:rsidP="00477661">
      <w:pPr>
        <w:spacing w:line="480" w:lineRule="auto"/>
        <w:jc w:val="left"/>
        <w:rPr>
          <w:rFonts w:ascii="Times New Roman" w:eastAsia="TradeGothicLTStd" w:hAnsi="Times New Roman" w:cs="Times New Roman"/>
          <w:szCs w:val="21"/>
        </w:rPr>
      </w:pPr>
      <w:r w:rsidRPr="00901043">
        <w:rPr>
          <w:rFonts w:ascii="Times New Roman" w:eastAsia="TradeGothicLTStd" w:hAnsi="Times New Roman" w:cs="Times New Roman"/>
          <w:szCs w:val="21"/>
        </w:rPr>
        <w:t>Kanran Wang</w:t>
      </w:r>
      <w:r w:rsidRPr="00901043">
        <w:rPr>
          <w:rFonts w:ascii="Times New Roman" w:eastAsia="TradeGothicLTStd" w:hAnsi="Times New Roman" w:cs="Times New Roman"/>
          <w:szCs w:val="21"/>
          <w:vertAlign w:val="superscript"/>
        </w:rPr>
        <w:t>1</w:t>
      </w:r>
      <w:r>
        <w:rPr>
          <w:rFonts w:ascii="Times New Roman" w:eastAsia="TradeGothicLTStd" w:hAnsi="Times New Roman" w:cs="Times New Roman"/>
          <w:szCs w:val="21"/>
          <w:vertAlign w:val="superscript"/>
        </w:rPr>
        <w:t>,2</w:t>
      </w:r>
      <w:r w:rsidRPr="00901043">
        <w:rPr>
          <w:rFonts w:ascii="Times New Roman" w:eastAsia="TradeGothicLTStd" w:hAnsi="Times New Roman" w:cs="Times New Roman"/>
          <w:szCs w:val="21"/>
        </w:rPr>
        <w:t>, MD; Hong Liu</w:t>
      </w:r>
      <w:r>
        <w:rPr>
          <w:rFonts w:ascii="Times New Roman" w:eastAsia="TradeGothicLTStd" w:hAnsi="Times New Roman" w:cs="Times New Roman"/>
          <w:szCs w:val="21"/>
          <w:vertAlign w:val="superscript"/>
        </w:rPr>
        <w:t>3</w:t>
      </w:r>
      <w:r w:rsidRPr="00901043">
        <w:rPr>
          <w:rFonts w:ascii="Times New Roman" w:eastAsia="TradeGothicLTStd" w:hAnsi="Times New Roman" w:cs="Times New Roman"/>
          <w:szCs w:val="21"/>
        </w:rPr>
        <w:t>, MD, PhD</w:t>
      </w:r>
    </w:p>
    <w:p w14:paraId="7A3C01C9" w14:textId="77777777" w:rsidR="00477661" w:rsidRPr="00901043" w:rsidRDefault="00477661" w:rsidP="006F29DE">
      <w:pPr>
        <w:pStyle w:val="Paragraph"/>
        <w:spacing w:before="0" w:line="360" w:lineRule="auto"/>
        <w:ind w:firstLine="0"/>
        <w:jc w:val="both"/>
        <w:rPr>
          <w:b/>
          <w:sz w:val="21"/>
          <w:szCs w:val="21"/>
        </w:rPr>
      </w:pPr>
      <w:r w:rsidRPr="00901043">
        <w:rPr>
          <w:b/>
          <w:sz w:val="21"/>
          <w:szCs w:val="21"/>
        </w:rPr>
        <w:t>Affiliations:</w:t>
      </w:r>
    </w:p>
    <w:p w14:paraId="6B1D8210" w14:textId="77777777" w:rsidR="00477661" w:rsidRDefault="00477661" w:rsidP="006F29D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eastAsia="等线" w:hAnsi="Times New Roman" w:cs="Times New Roman"/>
          <w:szCs w:val="21"/>
        </w:rPr>
      </w:pPr>
      <w:bookmarkStart w:id="0" w:name="OLE_LINK41"/>
      <w:bookmarkStart w:id="1" w:name="OLE_LINK46"/>
      <w:r w:rsidRPr="00DC49B2">
        <w:rPr>
          <w:rFonts w:ascii="Times New Roman" w:eastAsia="等线" w:hAnsi="Times New Roman" w:cs="Times New Roman"/>
          <w:szCs w:val="21"/>
        </w:rPr>
        <w:t>Department of Endocrinology, the First Affiliated Hospital of Chongqing Medical University, Chongqing, China</w:t>
      </w:r>
      <w:r>
        <w:rPr>
          <w:rFonts w:ascii="Times New Roman" w:eastAsia="等线" w:hAnsi="Times New Roman" w:cs="Times New Roman"/>
          <w:szCs w:val="21"/>
        </w:rPr>
        <w:t>, 400016</w:t>
      </w:r>
      <w:r w:rsidRPr="00DC49B2">
        <w:rPr>
          <w:rFonts w:ascii="Times New Roman" w:eastAsia="等线" w:hAnsi="Times New Roman" w:cs="Times New Roman"/>
          <w:szCs w:val="21"/>
        </w:rPr>
        <w:t>.</w:t>
      </w:r>
    </w:p>
    <w:p w14:paraId="66139E5D" w14:textId="77777777" w:rsidR="00477661" w:rsidRDefault="00477661" w:rsidP="006F29D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eastAsia="等线" w:hAnsi="Times New Roman" w:cs="Times New Roman"/>
          <w:szCs w:val="21"/>
        </w:rPr>
      </w:pPr>
      <w:r w:rsidRPr="008908FB">
        <w:rPr>
          <w:rFonts w:ascii="Times New Roman" w:eastAsia="等线" w:hAnsi="Times New Roman" w:cs="Times New Roman"/>
        </w:rPr>
        <w:t>Department of Neurosurgery, Harvard Medical School and Brigham and Women’s Hospital, Boston, MA, USA, 02115.</w:t>
      </w:r>
    </w:p>
    <w:p w14:paraId="19AF4E0C" w14:textId="092EB342" w:rsidR="00477661" w:rsidRPr="00FF3814" w:rsidRDefault="00477661" w:rsidP="006F29DE"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="Times New Roman" w:eastAsia="等线" w:hAnsi="Times New Roman" w:cs="Times New Roman"/>
          <w:szCs w:val="21"/>
        </w:rPr>
      </w:pPr>
      <w:r w:rsidRPr="00FF3814">
        <w:rPr>
          <w:rFonts w:ascii="Times New Roman" w:eastAsia="等线" w:hAnsi="Times New Roman" w:cs="Times New Roman"/>
          <w:szCs w:val="21"/>
        </w:rPr>
        <w:t>Center of Medical Reproduction, the First Affiliated Hospital of Chongqing Medical University, Chongqing, China</w:t>
      </w:r>
      <w:bookmarkEnd w:id="0"/>
      <w:bookmarkEnd w:id="1"/>
      <w:r>
        <w:rPr>
          <w:rFonts w:ascii="Times New Roman" w:eastAsia="等线" w:hAnsi="Times New Roman" w:cs="Times New Roman"/>
          <w:szCs w:val="21"/>
        </w:rPr>
        <w:t>,</w:t>
      </w:r>
      <w:r w:rsidRPr="00DC49B2">
        <w:rPr>
          <w:rFonts w:ascii="Times New Roman" w:eastAsia="等线" w:hAnsi="Times New Roman" w:cs="Times New Roman"/>
          <w:szCs w:val="21"/>
        </w:rPr>
        <w:t xml:space="preserve"> </w:t>
      </w:r>
      <w:r>
        <w:rPr>
          <w:rFonts w:ascii="Times New Roman" w:eastAsia="等线" w:hAnsi="Times New Roman" w:cs="Times New Roman"/>
          <w:szCs w:val="21"/>
        </w:rPr>
        <w:t>400016.</w:t>
      </w:r>
    </w:p>
    <w:p w14:paraId="7551EA4A" w14:textId="77777777" w:rsidR="00477661" w:rsidRPr="00901043" w:rsidRDefault="00477661" w:rsidP="006F29DE">
      <w:pPr>
        <w:spacing w:line="360" w:lineRule="auto"/>
        <w:rPr>
          <w:rFonts w:ascii="Times New Roman" w:hAnsi="Times New Roman" w:cs="Times New Roman"/>
          <w:szCs w:val="21"/>
        </w:rPr>
      </w:pPr>
      <w:r w:rsidRPr="00901043">
        <w:rPr>
          <w:rFonts w:ascii="Times New Roman" w:eastAsia="等线" w:hAnsi="Times New Roman" w:cs="Times New Roman"/>
          <w:b/>
          <w:szCs w:val="21"/>
        </w:rPr>
        <w:t xml:space="preserve">Corresponding </w:t>
      </w:r>
      <w:r>
        <w:rPr>
          <w:rFonts w:ascii="Times New Roman" w:eastAsia="等线" w:hAnsi="Times New Roman" w:cs="Times New Roman"/>
          <w:b/>
          <w:szCs w:val="21"/>
        </w:rPr>
        <w:t>to:</w:t>
      </w:r>
      <w:r w:rsidRPr="00901043">
        <w:rPr>
          <w:rFonts w:ascii="Times New Roman" w:eastAsia="等线" w:hAnsi="Times New Roman" w:cs="Times New Roman"/>
          <w:b/>
          <w:szCs w:val="21"/>
        </w:rPr>
        <w:t xml:space="preserve"> </w:t>
      </w:r>
      <w:bookmarkStart w:id="2" w:name="OLE_LINK51"/>
      <w:bookmarkStart w:id="3" w:name="OLE_LINK52"/>
      <w:r w:rsidRPr="00901043">
        <w:rPr>
          <w:rFonts w:ascii="Times New Roman" w:eastAsia="等线" w:hAnsi="Times New Roman" w:cs="Times New Roman"/>
          <w:szCs w:val="21"/>
        </w:rPr>
        <w:t>Hong Liu</w:t>
      </w:r>
      <w:bookmarkEnd w:id="2"/>
      <w:bookmarkEnd w:id="3"/>
      <w:r w:rsidRPr="00901043">
        <w:rPr>
          <w:rFonts w:ascii="Times New Roman" w:eastAsia="等线" w:hAnsi="Times New Roman" w:cs="Times New Roman"/>
          <w:szCs w:val="21"/>
        </w:rPr>
        <w:t>, MD, PhD, Center of Medical Reproduction,</w:t>
      </w:r>
      <w:bookmarkStart w:id="4" w:name="OLE_LINK40"/>
      <w:r w:rsidRPr="00901043">
        <w:rPr>
          <w:rFonts w:ascii="Times New Roman" w:eastAsia="等线" w:hAnsi="Times New Roman" w:cs="Times New Roman"/>
          <w:szCs w:val="21"/>
        </w:rPr>
        <w:t xml:space="preserve"> </w:t>
      </w:r>
      <w:bookmarkStart w:id="5" w:name="OLE_LINK26"/>
      <w:r w:rsidRPr="00901043">
        <w:rPr>
          <w:rFonts w:ascii="Times New Roman" w:eastAsia="等线" w:hAnsi="Times New Roman" w:cs="Times New Roman"/>
          <w:szCs w:val="21"/>
        </w:rPr>
        <w:t>the First Affiliated Hospital of Chongqing Medical University</w:t>
      </w:r>
      <w:bookmarkEnd w:id="4"/>
      <w:bookmarkEnd w:id="5"/>
      <w:r w:rsidRPr="00901043">
        <w:rPr>
          <w:rFonts w:ascii="Times New Roman" w:eastAsia="等线" w:hAnsi="Times New Roman" w:cs="Times New Roman"/>
          <w:szCs w:val="21"/>
        </w:rPr>
        <w:t xml:space="preserve">, </w:t>
      </w:r>
      <w:bookmarkStart w:id="6" w:name="OLE_LINK24"/>
      <w:bookmarkStart w:id="7" w:name="OLE_LINK25"/>
      <w:r w:rsidRPr="00901043">
        <w:rPr>
          <w:rFonts w:ascii="Times New Roman" w:eastAsia="等线" w:hAnsi="Times New Roman" w:cs="Times New Roman"/>
          <w:szCs w:val="21"/>
        </w:rPr>
        <w:t>No.1 Youyi Stree</w:t>
      </w:r>
      <w:bookmarkEnd w:id="6"/>
      <w:bookmarkEnd w:id="7"/>
      <w:r w:rsidRPr="00901043">
        <w:rPr>
          <w:rFonts w:ascii="Times New Roman" w:eastAsia="等线" w:hAnsi="Times New Roman" w:cs="Times New Roman"/>
          <w:szCs w:val="21"/>
        </w:rPr>
        <w:t>t, Yuzhong District, Chongqing, China, 400016. (</w:t>
      </w:r>
      <w:bookmarkStart w:id="8" w:name="OLE_LINK54"/>
      <w:bookmarkStart w:id="9" w:name="OLE_LINK55"/>
      <w:bookmarkStart w:id="10" w:name="OLE_LINK56"/>
      <w:r>
        <w:rPr>
          <w:rFonts w:ascii="Times New Roman" w:eastAsia="等线" w:hAnsi="Times New Roman" w:cs="Times New Roman" w:hint="eastAsia"/>
          <w:szCs w:val="21"/>
        </w:rPr>
        <w:t>liuhong</w:t>
      </w:r>
      <w:r>
        <w:rPr>
          <w:rFonts w:ascii="Times New Roman" w:eastAsia="等线" w:hAnsi="Times New Roman" w:cs="Times New Roman"/>
          <w:szCs w:val="21"/>
        </w:rPr>
        <w:t>_cqmu</w:t>
      </w:r>
      <w:r w:rsidRPr="00901043">
        <w:rPr>
          <w:rFonts w:ascii="Times New Roman" w:eastAsia="等线" w:hAnsi="Times New Roman" w:cs="Times New Roman"/>
          <w:szCs w:val="21"/>
        </w:rPr>
        <w:t>@</w:t>
      </w:r>
      <w:r>
        <w:rPr>
          <w:rFonts w:ascii="Times New Roman" w:eastAsia="等线" w:hAnsi="Times New Roman" w:cs="Times New Roman"/>
          <w:szCs w:val="21"/>
        </w:rPr>
        <w:t>126</w:t>
      </w:r>
      <w:r w:rsidRPr="00901043">
        <w:rPr>
          <w:rFonts w:ascii="Times New Roman" w:eastAsia="等线" w:hAnsi="Times New Roman" w:cs="Times New Roman"/>
          <w:szCs w:val="21"/>
        </w:rPr>
        <w:t>.com</w:t>
      </w:r>
      <w:bookmarkEnd w:id="8"/>
      <w:bookmarkEnd w:id="9"/>
      <w:bookmarkEnd w:id="10"/>
      <w:r w:rsidRPr="00901043">
        <w:rPr>
          <w:rFonts w:ascii="Times New Roman" w:eastAsia="等线" w:hAnsi="Times New Roman" w:cs="Times New Roman"/>
          <w:szCs w:val="21"/>
        </w:rPr>
        <w:t>).</w:t>
      </w:r>
    </w:p>
    <w:p w14:paraId="71C04436" w14:textId="77777777" w:rsidR="00477661" w:rsidRDefault="00477661" w:rsidP="00477661">
      <w:pPr>
        <w:spacing w:line="360" w:lineRule="auto"/>
        <w:rPr>
          <w:rFonts w:ascii="Times New Roman" w:hAnsi="Times New Roman" w:cs="Times New Roman"/>
          <w:b/>
          <w:szCs w:val="21"/>
        </w:rPr>
      </w:pPr>
    </w:p>
    <w:p w14:paraId="338D500F" w14:textId="2834196D" w:rsidR="00477661" w:rsidRPr="00901043" w:rsidRDefault="00477661" w:rsidP="00477661">
      <w:pPr>
        <w:spacing w:line="360" w:lineRule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 w:hint="eastAsia"/>
          <w:b/>
          <w:szCs w:val="21"/>
        </w:rPr>
        <w:t>Background</w:t>
      </w:r>
    </w:p>
    <w:p w14:paraId="4F45229E" w14:textId="77777777" w:rsidR="00477661" w:rsidRPr="00901043" w:rsidRDefault="00477661" w:rsidP="00477661">
      <w:pPr>
        <w:spacing w:line="360" w:lineRule="auto"/>
        <w:rPr>
          <w:rFonts w:ascii="Times New Roman" w:hAnsi="Times New Roman" w:cs="Times New Roman"/>
          <w:szCs w:val="21"/>
        </w:rPr>
      </w:pPr>
      <w:r w:rsidRPr="00901043">
        <w:rPr>
          <w:rFonts w:ascii="Times New Roman" w:hAnsi="Times New Roman" w:cs="Times New Roman"/>
          <w:szCs w:val="21"/>
        </w:rPr>
        <w:t xml:space="preserve">To examine the longitudinal associations between total and individual </w:t>
      </w:r>
      <w:r>
        <w:rPr>
          <w:rFonts w:ascii="Times New Roman" w:hAnsi="Times New Roman" w:cs="Times New Roman" w:hint="eastAsia"/>
          <w:szCs w:val="21"/>
        </w:rPr>
        <w:t>whole</w:t>
      </w:r>
      <w:r>
        <w:rPr>
          <w:rFonts w:ascii="Times New Roman" w:hAnsi="Times New Roman" w:cs="Times New Roman"/>
          <w:szCs w:val="21"/>
        </w:rPr>
        <w:t xml:space="preserve"> grain (WG) </w:t>
      </w:r>
      <w:r w:rsidRPr="00901043">
        <w:rPr>
          <w:rFonts w:ascii="Times New Roman" w:hAnsi="Times New Roman" w:cs="Times New Roman"/>
          <w:szCs w:val="21"/>
        </w:rPr>
        <w:t xml:space="preserve">foods </w:t>
      </w:r>
      <w:r>
        <w:rPr>
          <w:rFonts w:ascii="Times New Roman" w:hAnsi="Times New Roman" w:cs="Times New Roman"/>
          <w:szCs w:val="21"/>
        </w:rPr>
        <w:t xml:space="preserve">intake </w:t>
      </w:r>
      <w:r w:rsidRPr="00901043">
        <w:rPr>
          <w:rFonts w:ascii="Times New Roman" w:hAnsi="Times New Roman" w:cs="Times New Roman"/>
          <w:szCs w:val="21"/>
        </w:rPr>
        <w:t xml:space="preserve">and the risk of all </w:t>
      </w:r>
      <w:r w:rsidRPr="00901043">
        <w:rPr>
          <w:rFonts w:ascii="Times New Roman" w:hAnsi="Times New Roman" w:cs="Times New Roman" w:hint="eastAsia"/>
          <w:szCs w:val="21"/>
        </w:rPr>
        <w:t>dementia</w:t>
      </w:r>
      <w:r w:rsidRPr="00901043">
        <w:rPr>
          <w:rFonts w:ascii="Times New Roman" w:hAnsi="Times New Roman" w:cs="Times New Roman"/>
          <w:szCs w:val="21"/>
        </w:rPr>
        <w:t xml:space="preserve"> and Alzheimer’s disease (AD) dementia.</w:t>
      </w:r>
    </w:p>
    <w:p w14:paraId="2A4DF911" w14:textId="77777777" w:rsidR="00477661" w:rsidRDefault="00477661" w:rsidP="00477661">
      <w:pPr>
        <w:spacing w:line="360" w:lineRule="auto"/>
        <w:rPr>
          <w:rFonts w:ascii="Times New Roman" w:hAnsi="Times New Roman" w:cs="Times New Roman"/>
          <w:b/>
          <w:szCs w:val="21"/>
        </w:rPr>
      </w:pPr>
      <w:r>
        <w:rPr>
          <w:rFonts w:ascii="Times New Roman" w:hAnsi="Times New Roman" w:cs="Times New Roman" w:hint="eastAsia"/>
          <w:b/>
          <w:szCs w:val="21"/>
        </w:rPr>
        <w:t>Method</w:t>
      </w:r>
    </w:p>
    <w:p w14:paraId="0C58C9B6" w14:textId="77777777" w:rsidR="00477661" w:rsidRPr="00901043" w:rsidRDefault="00477661" w:rsidP="00477661">
      <w:pPr>
        <w:spacing w:line="360" w:lineRule="auto"/>
        <w:rPr>
          <w:rFonts w:ascii="Times New Roman" w:hAnsi="Times New Roman" w:cs="Times New Roman"/>
          <w:szCs w:val="21"/>
        </w:rPr>
      </w:pPr>
      <w:r w:rsidRPr="009E1A6B">
        <w:rPr>
          <w:rFonts w:ascii="Times New Roman" w:hAnsi="Times New Roman" w:cs="Times New Roman"/>
          <w:szCs w:val="21"/>
        </w:rPr>
        <w:t>This</w:t>
      </w:r>
      <w:r>
        <w:rPr>
          <w:rFonts w:ascii="Times New Roman" w:hAnsi="Times New Roman" w:cs="Times New Roman"/>
          <w:szCs w:val="21"/>
        </w:rPr>
        <w:t xml:space="preserve"> </w:t>
      </w:r>
      <w:r w:rsidRPr="009E1A6B">
        <w:rPr>
          <w:rFonts w:ascii="Times New Roman" w:hAnsi="Times New Roman" w:cs="Times New Roman"/>
          <w:szCs w:val="21"/>
        </w:rPr>
        <w:t>study</w:t>
      </w:r>
      <w:r>
        <w:rPr>
          <w:rFonts w:ascii="Times New Roman" w:hAnsi="Times New Roman" w:cs="Times New Roman"/>
          <w:szCs w:val="21"/>
        </w:rPr>
        <w:t xml:space="preserve"> included </w:t>
      </w:r>
      <w:r w:rsidRPr="00901043">
        <w:rPr>
          <w:rFonts w:ascii="Times New Roman" w:hAnsi="Times New Roman" w:cs="Times New Roman"/>
        </w:rPr>
        <w:t>2958 subjects</w:t>
      </w:r>
      <w:r w:rsidRPr="009E1A6B">
        <w:rPr>
          <w:rFonts w:ascii="Times New Roman" w:hAnsi="Times New Roman" w:cs="Times New Roman"/>
          <w:szCs w:val="21"/>
        </w:rPr>
        <w:t xml:space="preserve"> from the Framingham Offspring cohort. Food Frequency Questionnaire</w:t>
      </w:r>
      <w:r>
        <w:rPr>
          <w:rFonts w:ascii="Times New Roman" w:hAnsi="Times New Roman" w:cs="Times New Roman"/>
          <w:szCs w:val="21"/>
        </w:rPr>
        <w:t xml:space="preserve"> (FFQ)</w:t>
      </w:r>
      <w:r w:rsidRPr="009E1A6B">
        <w:rPr>
          <w:rFonts w:ascii="Times New Roman" w:hAnsi="Times New Roman" w:cs="Times New Roman"/>
          <w:szCs w:val="21"/>
        </w:rPr>
        <w:t xml:space="preserve"> and lifestyle data were collected approximately every 4 y. Proportional hazards models </w:t>
      </w:r>
      <w:r>
        <w:rPr>
          <w:rFonts w:ascii="Times New Roman" w:hAnsi="Times New Roman" w:cs="Times New Roman"/>
          <w:szCs w:val="21"/>
        </w:rPr>
        <w:t xml:space="preserve">and </w:t>
      </w:r>
      <w:r w:rsidRPr="009E1A6B">
        <w:rPr>
          <w:rFonts w:ascii="Times New Roman" w:hAnsi="Times New Roman" w:cs="Times New Roman"/>
          <w:szCs w:val="21"/>
        </w:rPr>
        <w:t>cubic spline regression examined associations between WG foods and all de</w:t>
      </w:r>
      <w:r>
        <w:rPr>
          <w:rFonts w:ascii="Times New Roman" w:hAnsi="Times New Roman" w:cs="Times New Roman"/>
          <w:szCs w:val="21"/>
        </w:rPr>
        <w:t>mentia and AD dementia.</w:t>
      </w:r>
    </w:p>
    <w:p w14:paraId="453EF800" w14:textId="77777777" w:rsidR="00477661" w:rsidRPr="00901043" w:rsidRDefault="00477661" w:rsidP="00477661">
      <w:pPr>
        <w:spacing w:line="360" w:lineRule="auto"/>
        <w:rPr>
          <w:rFonts w:ascii="Times New Roman" w:hAnsi="Times New Roman" w:cs="Times New Roman"/>
        </w:rPr>
      </w:pPr>
      <w:r w:rsidRPr="00901043">
        <w:rPr>
          <w:rFonts w:ascii="Times New Roman" w:hAnsi="Times New Roman" w:cs="Times New Roman"/>
          <w:b/>
          <w:sz w:val="22"/>
        </w:rPr>
        <w:t>Results:</w:t>
      </w:r>
      <w:r w:rsidRPr="00901043">
        <w:rPr>
          <w:rFonts w:ascii="Times New Roman" w:hAnsi="Times New Roman" w:cs="Times New Roman"/>
        </w:rPr>
        <w:t xml:space="preserve"> Over an average of 12.6 years of follow-up, there were 322 dementia cases of which 247 were AD dementia. After multivariate and dietary adjustments, individuals with the highest category for total WG foods consumption had a lower risk of all dementia (HR: 0.66; 95%CI: 0.51-0.82) and AD dementia (HR: 0.60; 95%CI: 0.46-0.79) relative to individuals with the lowest category.</w:t>
      </w:r>
      <w:r w:rsidRPr="00901043">
        <w:t xml:space="preserve"> </w:t>
      </w:r>
      <w:r w:rsidRPr="00901043">
        <w:rPr>
          <w:rFonts w:ascii="Times New Roman" w:hAnsi="Times New Roman" w:cs="Times New Roman"/>
        </w:rPr>
        <w:t xml:space="preserve">For individual WG foods, </w:t>
      </w:r>
      <w:r w:rsidRPr="00901043">
        <w:rPr>
          <w:rFonts w:ascii="Times New Roman" w:hAnsi="Times New Roman" w:cs="Times New Roman" w:hint="eastAsia"/>
        </w:rPr>
        <w:t>HRs</w:t>
      </w:r>
      <w:r w:rsidRPr="00901043">
        <w:rPr>
          <w:rFonts w:ascii="Times New Roman" w:hAnsi="Times New Roman" w:cs="Times New Roman"/>
        </w:rPr>
        <w:t xml:space="preserve"> (95% CI) for all dementia in participants consuming one or more servings a week compared with those never consuming were 0.64 (0.49-0.80) for </w:t>
      </w:r>
      <w:r w:rsidRPr="00901043">
        <w:rPr>
          <w:rFonts w:ascii="Times New Roman" w:hAnsi="Times New Roman" w:cs="Times New Roman" w:hint="eastAsia"/>
        </w:rPr>
        <w:t>WG</w:t>
      </w:r>
      <w:r w:rsidRPr="00901043">
        <w:rPr>
          <w:rFonts w:ascii="Times New Roman" w:hAnsi="Times New Roman" w:cs="Times New Roman"/>
        </w:rPr>
        <w:t xml:space="preserve"> cold breakfast cereal, 0.70 (0.51-0.90) for dark bread, 1.08 (0.73-1.58) for popcorn, 0.69 (0.55-0.84) for cooked oatmeal, 0.78 (0.66-0.89) for brown rice, 0.62(0.43-0.84) for added bran and 0.59(0.41-0.79) for added germ. And the results remained comparable for AD dementia. </w:t>
      </w:r>
      <w:r>
        <w:rPr>
          <w:rFonts w:ascii="Times New Roman" w:hAnsi="Times New Roman" w:cs="Times New Roman"/>
        </w:rPr>
        <w:t>A</w:t>
      </w:r>
      <w:r w:rsidRPr="00901043">
        <w:rPr>
          <w:rFonts w:ascii="Times New Roman" w:hAnsi="Times New Roman" w:cs="Times New Roman"/>
        </w:rPr>
        <w:t xml:space="preserve"> non-linear dose-response association was shown between total </w:t>
      </w:r>
      <w:r w:rsidRPr="00901043">
        <w:rPr>
          <w:rFonts w:ascii="Times New Roman" w:hAnsi="Times New Roman" w:cs="Times New Roman" w:hint="eastAsia"/>
        </w:rPr>
        <w:t>WG</w:t>
      </w:r>
      <w:r w:rsidRPr="00901043">
        <w:rPr>
          <w:rFonts w:ascii="Times New Roman" w:hAnsi="Times New Roman" w:cs="Times New Roman"/>
        </w:rPr>
        <w:t xml:space="preserve"> intake and all dementia and AD dementia where the rate reduction slightly plateaued at more than one and two servings</w:t>
      </w:r>
      <w:r>
        <w:rPr>
          <w:rFonts w:ascii="Times New Roman" w:hAnsi="Times New Roman" w:cs="Times New Roman"/>
        </w:rPr>
        <w:t>/</w:t>
      </w:r>
      <w:r w:rsidRPr="00901043">
        <w:rPr>
          <w:rFonts w:ascii="Times New Roman" w:hAnsi="Times New Roman" w:cs="Times New Roman"/>
        </w:rPr>
        <w:t>day respectively.</w:t>
      </w:r>
    </w:p>
    <w:p w14:paraId="1BBCEA46" w14:textId="77777777" w:rsidR="00477661" w:rsidRDefault="00477661" w:rsidP="00477661">
      <w:pPr>
        <w:spacing w:line="360" w:lineRule="auto"/>
        <w:rPr>
          <w:rFonts w:ascii="Times New Roman" w:hAnsi="Times New Roman" w:cs="Times New Roman"/>
        </w:rPr>
      </w:pPr>
      <w:r w:rsidRPr="00901043">
        <w:rPr>
          <w:rFonts w:ascii="Times New Roman" w:hAnsi="Times New Roman" w:cs="Times New Roman"/>
          <w:b/>
          <w:sz w:val="22"/>
        </w:rPr>
        <w:t>Conclusion:</w:t>
      </w:r>
      <w:r w:rsidRPr="00901043">
        <w:rPr>
          <w:rFonts w:ascii="Times New Roman" w:hAnsi="Times New Roman" w:cs="Times New Roman"/>
        </w:rPr>
        <w:t xml:space="preserve"> Higher consumption of total and several common individual </w:t>
      </w:r>
      <w:r w:rsidRPr="00901043">
        <w:rPr>
          <w:rFonts w:ascii="Times New Roman" w:hAnsi="Times New Roman" w:cs="Times New Roman" w:hint="eastAsia"/>
        </w:rPr>
        <w:t>WG</w:t>
      </w:r>
      <w:r w:rsidRPr="00901043">
        <w:rPr>
          <w:rFonts w:ascii="Times New Roman" w:hAnsi="Times New Roman" w:cs="Times New Roman"/>
        </w:rPr>
        <w:t xml:space="preserve"> foods </w:t>
      </w:r>
      <w:r w:rsidRPr="00901043">
        <w:rPr>
          <w:rFonts w:ascii="Times New Roman" w:hAnsi="Times New Roman" w:cs="Times New Roman" w:hint="eastAsia"/>
        </w:rPr>
        <w:t>was</w:t>
      </w:r>
      <w:r w:rsidRPr="00901043">
        <w:rPr>
          <w:rFonts w:ascii="Times New Roman" w:hAnsi="Times New Roman" w:cs="Times New Roman"/>
        </w:rPr>
        <w:t xml:space="preserve"> stronger </w:t>
      </w:r>
      <w:r w:rsidRPr="00901043">
        <w:rPr>
          <w:rFonts w:ascii="Times New Roman" w:hAnsi="Times New Roman" w:cs="Times New Roman"/>
        </w:rPr>
        <w:lastRenderedPageBreak/>
        <w:t>associated with a lower risk of all dementia and</w:t>
      </w:r>
      <w:r w:rsidRPr="00901043">
        <w:rPr>
          <w:rFonts w:ascii="Times New Roman" w:hAnsi="Times New Roman" w:cs="Times New Roman" w:hint="eastAsia"/>
        </w:rPr>
        <w:t xml:space="preserve"> </w:t>
      </w:r>
      <w:r w:rsidRPr="00901043">
        <w:rPr>
          <w:rFonts w:ascii="Times New Roman" w:hAnsi="Times New Roman" w:cs="Times New Roman"/>
        </w:rPr>
        <w:t>AD dementia.</w:t>
      </w:r>
    </w:p>
    <w:p w14:paraId="3920810C" w14:textId="77777777" w:rsidR="006B3764" w:rsidRDefault="006B3764"/>
    <w:sectPr w:rsidR="006B376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adeGothicLTStd">
    <w:altName w:val="微软雅黑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06049"/>
    <w:multiLevelType w:val="hybridMultilevel"/>
    <w:tmpl w:val="E1004E04"/>
    <w:lvl w:ilvl="0" w:tplc="2DD2260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661"/>
    <w:rsid w:val="00285AD4"/>
    <w:rsid w:val="00477661"/>
    <w:rsid w:val="006B3764"/>
    <w:rsid w:val="006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706FE"/>
  <w15:chartTrackingRefBased/>
  <w15:docId w15:val="{C6385015-EBC5-4F42-9846-543559C14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7661"/>
    <w:pPr>
      <w:widowControl w:val="0"/>
      <w:spacing w:after="0" w:line="240" w:lineRule="auto"/>
      <w:jc w:val="both"/>
    </w:pPr>
    <w:rPr>
      <w:kern w:val="2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qFormat/>
    <w:rsid w:val="00477661"/>
    <w:pPr>
      <w:widowControl/>
      <w:spacing w:before="120"/>
      <w:ind w:firstLine="72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477661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365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Kanran</dc:creator>
  <cp:keywords/>
  <dc:description/>
  <cp:lastModifiedBy>Wang Kanran</cp:lastModifiedBy>
  <cp:revision>7</cp:revision>
  <dcterms:created xsi:type="dcterms:W3CDTF">2022-02-16T19:16:00Z</dcterms:created>
  <dcterms:modified xsi:type="dcterms:W3CDTF">2022-02-16T19:20:00Z</dcterms:modified>
</cp:coreProperties>
</file>