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4E8" w:rsidRDefault="007C14E8" w:rsidP="007C14E8">
      <w:pPr>
        <w:spacing w:line="360" w:lineRule="auto"/>
        <w:ind w:left="-9" w:firstLine="369"/>
        <w:contextualSpacing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in Tehran: mycological study of 220 persons with nails disorder in 2016</w:t>
      </w:r>
    </w:p>
    <w:p w:rsidR="007C14E8" w:rsidRDefault="007C14E8" w:rsidP="007C14E8">
      <w:pPr>
        <w:spacing w:line="360" w:lineRule="auto"/>
        <w:ind w:left="-9" w:firstLine="369"/>
        <w:contextualSpacing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Tamanaie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Faeze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, medical mycology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MsC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>, Tehran University of Medical Sciences, Iran</w:t>
      </w:r>
    </w:p>
    <w:p w:rsidR="007C14E8" w:rsidRDefault="007C14E8" w:rsidP="007C14E8">
      <w:pPr>
        <w:spacing w:line="360" w:lineRule="auto"/>
        <w:ind w:left="-9" w:firstLine="369"/>
        <w:contextualSpacing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Jamal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Hashemi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>, medical mycology PhD, Tehran University of Medical Sciences, Iran</w:t>
      </w:r>
    </w:p>
    <w:p w:rsidR="007C14E8" w:rsidRDefault="007C14E8" w:rsidP="007C14E8">
      <w:pPr>
        <w:spacing w:line="360" w:lineRule="auto"/>
        <w:ind w:left="-9" w:firstLine="369"/>
        <w:contextualSpacing/>
        <w:jc w:val="lowKashida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Introduction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proofErr w:type="gramEnd"/>
      <w:r>
        <w:rPr>
          <w:rFonts w:asciiTheme="majorBidi" w:hAnsiTheme="majorBidi" w:cstheme="majorBidi"/>
          <w:sz w:val="28"/>
          <w:szCs w:val="28"/>
        </w:rPr>
        <w:t xml:space="preserve"> is a fungal infection of nails, which is caused by three groups of fungi include  </w:t>
      </w:r>
      <w:proofErr w:type="spellStart"/>
      <w:r>
        <w:rPr>
          <w:rFonts w:asciiTheme="majorBidi" w:hAnsiTheme="majorBidi" w:cstheme="majorBidi"/>
          <w:sz w:val="28"/>
          <w:szCs w:val="28"/>
        </w:rPr>
        <w:t>dermatophyte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saprophytic mold and yeast  that lead to almost 30% of all fungal skin infections. Diagnosis of the </w:t>
      </w:r>
      <w:proofErr w:type="spellStart"/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is only possible by direct microscopic examination and culture. Diagnosis and differentiation of </w:t>
      </w:r>
      <w:proofErr w:type="spellStart"/>
      <w:r>
        <w:rPr>
          <w:rFonts w:asciiTheme="majorBidi" w:hAnsiTheme="majorBidi" w:cstheme="majorBidi"/>
          <w:sz w:val="28"/>
          <w:szCs w:val="28"/>
        </w:rPr>
        <w:t>dermatophyte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and saprophytic </w:t>
      </w:r>
      <w:proofErr w:type="spellStart"/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is not easily performed thus we should use other criteria, such as clinical signs and risk factors associated with this disease. By performing a careful examination, these criteria can be statistically determined and clinical symptoms, direct examination and culture as a diagnostic </w:t>
      </w:r>
      <w:proofErr w:type="spellStart"/>
      <w:r>
        <w:rPr>
          <w:rFonts w:asciiTheme="majorBidi" w:hAnsiTheme="majorBidi" w:cstheme="majorBidi"/>
          <w:sz w:val="28"/>
          <w:szCs w:val="28"/>
        </w:rPr>
        <w:t>criteriacan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be used for saprophytic infections from </w:t>
      </w:r>
      <w:proofErr w:type="spellStart"/>
      <w:r>
        <w:rPr>
          <w:rFonts w:asciiTheme="majorBidi" w:hAnsiTheme="majorBidi" w:cstheme="majorBidi"/>
          <w:sz w:val="28"/>
          <w:szCs w:val="28"/>
        </w:rPr>
        <w:t>dermatophytic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. The subject of this research has been chosen in order to reduce the wrongful laboratory diagnosis of saprophytic </w:t>
      </w:r>
      <w:proofErr w:type="spellStart"/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sz w:val="28"/>
          <w:szCs w:val="28"/>
        </w:rPr>
        <w:t>.</w:t>
      </w:r>
    </w:p>
    <w:p w:rsidR="007C14E8" w:rsidRDefault="007C14E8" w:rsidP="007C14E8">
      <w:pPr>
        <w:spacing w:line="360" w:lineRule="auto"/>
        <w:ind w:left="-9"/>
        <w:contextualSpacing/>
        <w:jc w:val="lowKashida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Nail lesions were also sampled in appropriate laboratory conditions, specimens were tested by direct microscopic examination using potassium hydrochloride (KOH</w:t>
      </w:r>
      <w:proofErr w:type="gramStart"/>
      <w:r>
        <w:rPr>
          <w:rFonts w:asciiTheme="majorBidi" w:hAnsiTheme="majorBidi" w:cstheme="majorBidi"/>
          <w:sz w:val="28"/>
          <w:szCs w:val="28"/>
        </w:rPr>
        <w:t>)15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% and culturing on </w:t>
      </w:r>
      <w:proofErr w:type="spellStart"/>
      <w:r>
        <w:rPr>
          <w:rFonts w:asciiTheme="majorBidi" w:hAnsiTheme="majorBidi" w:cstheme="majorBidi"/>
          <w:sz w:val="28"/>
          <w:szCs w:val="28"/>
        </w:rPr>
        <w:t>sabouraud’s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containing </w:t>
      </w:r>
      <w:proofErr w:type="spellStart"/>
      <w:r>
        <w:rPr>
          <w:rFonts w:asciiTheme="majorBidi" w:hAnsiTheme="majorBidi" w:cstheme="majorBidi"/>
          <w:sz w:val="28"/>
          <w:szCs w:val="28"/>
        </w:rPr>
        <w:t>chloramphenicol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(SC). Then the results were analyzed by the SPSS software.</w:t>
      </w:r>
    </w:p>
    <w:p w:rsidR="007C14E8" w:rsidRDefault="007C14E8" w:rsidP="007C14E8">
      <w:pPr>
        <w:spacing w:line="360" w:lineRule="auto"/>
        <w:ind w:left="-9" w:firstLine="369"/>
        <w:contextualSpacing/>
        <w:jc w:val="lowKashida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Out of 220 patients referring to the laboratory, 35 men (41.7%) and 49 women (58.3%) were positive for </w:t>
      </w:r>
      <w:proofErr w:type="spellStart"/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. 66 cases (78.6%) were positive for both direct examination and culture. Out of 84 cases of </w:t>
      </w:r>
      <w:proofErr w:type="spellStart"/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47.6% were caused by yeasts, 28.6% were infected by </w:t>
      </w:r>
      <w:proofErr w:type="spellStart"/>
      <w:r>
        <w:rPr>
          <w:rFonts w:asciiTheme="majorBidi" w:hAnsiTheme="majorBidi" w:cstheme="majorBidi"/>
          <w:sz w:val="28"/>
          <w:szCs w:val="28"/>
        </w:rPr>
        <w:t>dermatophytes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and 23.8% by saprophytic molds. Of the 20 cases of saprophytic </w:t>
      </w:r>
      <w:proofErr w:type="spellStart"/>
      <w:r>
        <w:rPr>
          <w:rFonts w:asciiTheme="majorBidi" w:hAnsiTheme="majorBidi" w:cstheme="majorBidi"/>
          <w:sz w:val="28"/>
          <w:szCs w:val="28"/>
        </w:rPr>
        <w:t>onychomycosis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: Five cases </w:t>
      </w:r>
      <w:r>
        <w:rPr>
          <w:rFonts w:asciiTheme="majorBidi" w:hAnsiTheme="majorBidi" w:cstheme="majorBidi"/>
          <w:sz w:val="28"/>
          <w:szCs w:val="28"/>
        </w:rPr>
        <w:lastRenderedPageBreak/>
        <w:t xml:space="preserve">(14.2%) were male and 15 cases (30.6%) were female. 15 cases (75%) were in toe nail (5 men, 10 women) and 5 cases (25%) were in finger nail (5 women). 30% of cases (the highest number of patients) were observed in the age group of 41-50 years old. Four cases (20%) had diabetes and one case (5%) had cardiovascular disease, and one case (5%) had a history of immune suppressive drug use. 9 cases (45%) had a history of trauma to nail. 18 cases (90%) had one nail involvement. All of 20 cases were negative for the lesion around the nail. 18 cases (90%) had clinical form of DLSO and 2 cases (10%) were observed with the clinical form of WSO. </w:t>
      </w:r>
    </w:p>
    <w:p w:rsidR="004E3D2D" w:rsidRDefault="007C14E8"/>
    <w:sectPr w:rsidR="004E3D2D" w:rsidSect="00CB7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14E8"/>
    <w:rsid w:val="007A2D12"/>
    <w:rsid w:val="007C14E8"/>
    <w:rsid w:val="00CB75BB"/>
    <w:rsid w:val="00D45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4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2071</Characters>
  <Application>Microsoft Office Word</Application>
  <DocSecurity>0</DocSecurity>
  <Lines>17</Lines>
  <Paragraphs>4</Paragraphs>
  <ScaleCrop>false</ScaleCrop>
  <Company>Grizli777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jhashemi</dc:creator>
  <cp:lastModifiedBy>jhashemi</cp:lastModifiedBy>
  <cp:revision>2</cp:revision>
  <dcterms:created xsi:type="dcterms:W3CDTF">2018-01-09T08:22:00Z</dcterms:created>
  <dcterms:modified xsi:type="dcterms:W3CDTF">2018-01-09T08:23:00Z</dcterms:modified>
</cp:coreProperties>
</file>