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2C2" w:rsidRDefault="00BB72C2" w:rsidP="00BB72C2">
      <w:pPr>
        <w:spacing w:line="480" w:lineRule="auto"/>
        <w:rPr>
          <w:rFonts w:ascii="Cambria" w:hAnsi="Cambria"/>
          <w:b/>
          <w:sz w:val="28"/>
          <w:szCs w:val="28"/>
        </w:rPr>
      </w:pPr>
      <w:r>
        <w:rPr>
          <w:rFonts w:ascii="Cambria" w:hAnsi="Cambria"/>
          <w:b/>
          <w:sz w:val="28"/>
          <w:szCs w:val="28"/>
        </w:rPr>
        <w:t xml:space="preserve">Lymphocytes to neutrophils </w:t>
      </w:r>
      <w:r w:rsidR="00F46D49">
        <w:rPr>
          <w:rFonts w:ascii="Cambria" w:hAnsi="Cambria"/>
          <w:b/>
          <w:sz w:val="28"/>
          <w:szCs w:val="28"/>
        </w:rPr>
        <w:t>ratio:</w:t>
      </w:r>
      <w:r>
        <w:rPr>
          <w:rFonts w:ascii="Cambria" w:hAnsi="Cambria"/>
          <w:b/>
          <w:sz w:val="28"/>
          <w:szCs w:val="28"/>
        </w:rPr>
        <w:t xml:space="preserve"> the immunologic link between chronic pancreatitis and pancreatic cancer; a single center study. </w:t>
      </w:r>
    </w:p>
    <w:p w:rsidR="00BB72C2" w:rsidRDefault="00BB72C2" w:rsidP="00BB72C2">
      <w:pPr>
        <w:spacing w:line="480" w:lineRule="auto"/>
        <w:rPr>
          <w:rFonts w:ascii="Cambria" w:hAnsi="Cambria"/>
          <w:sz w:val="24"/>
          <w:szCs w:val="24"/>
        </w:rPr>
      </w:pPr>
      <w:r w:rsidRPr="00BB72C2">
        <w:rPr>
          <w:rFonts w:ascii="Cambria" w:hAnsi="Cambria"/>
          <w:sz w:val="24"/>
          <w:szCs w:val="24"/>
        </w:rPr>
        <w:t>Soriba Naby Camara,Sneha Ballah,</w:t>
      </w:r>
      <w:r w:rsidR="007A23E5">
        <w:rPr>
          <w:rFonts w:ascii="Cambria" w:hAnsi="Cambria"/>
          <w:sz w:val="24"/>
          <w:szCs w:val="24"/>
        </w:rPr>
        <w:t xml:space="preserve"> Sadamoudou Traore,</w:t>
      </w:r>
      <w:r w:rsidRPr="00BB72C2">
        <w:rPr>
          <w:rFonts w:ascii="Cambria" w:hAnsi="Cambria"/>
          <w:sz w:val="24"/>
          <w:szCs w:val="24"/>
        </w:rPr>
        <w:t xml:space="preserve">Oumar Taibata Balde,Abdoulaye Korse Balde,Ibrahima </w:t>
      </w:r>
      <w:proofErr w:type="spellStart"/>
      <w:r w:rsidRPr="00BB72C2">
        <w:rPr>
          <w:rFonts w:ascii="Cambria" w:hAnsi="Cambria"/>
          <w:sz w:val="24"/>
          <w:szCs w:val="24"/>
        </w:rPr>
        <w:t>Sory</w:t>
      </w:r>
      <w:proofErr w:type="spellEnd"/>
      <w:r w:rsidRPr="00BB72C2">
        <w:rPr>
          <w:rFonts w:ascii="Cambria" w:hAnsi="Cambria"/>
          <w:sz w:val="24"/>
          <w:szCs w:val="24"/>
        </w:rPr>
        <w:t xml:space="preserve"> Souare, Ahmed </w:t>
      </w:r>
      <w:proofErr w:type="spellStart"/>
      <w:r w:rsidRPr="00BB72C2">
        <w:rPr>
          <w:rFonts w:ascii="Cambria" w:hAnsi="Cambria"/>
          <w:sz w:val="24"/>
          <w:szCs w:val="24"/>
        </w:rPr>
        <w:t>Boubacar</w:t>
      </w:r>
      <w:proofErr w:type="spellEnd"/>
      <w:r w:rsidRPr="00BB72C2">
        <w:rPr>
          <w:rFonts w:ascii="Cambria" w:hAnsi="Cambria"/>
          <w:sz w:val="24"/>
          <w:szCs w:val="24"/>
        </w:rPr>
        <w:t xml:space="preserve"> </w:t>
      </w:r>
      <w:proofErr w:type="spellStart"/>
      <w:r w:rsidRPr="00BB72C2">
        <w:rPr>
          <w:rFonts w:ascii="Cambria" w:hAnsi="Cambria"/>
          <w:sz w:val="24"/>
          <w:szCs w:val="24"/>
        </w:rPr>
        <w:t>Barry.</w:t>
      </w:r>
      <w:r w:rsidR="007A23E5">
        <w:rPr>
          <w:rFonts w:ascii="Cambria" w:hAnsi="Cambria"/>
          <w:sz w:val="24"/>
          <w:szCs w:val="24"/>
        </w:rPr>
        <w:t>Aissatou</w:t>
      </w:r>
      <w:proofErr w:type="spellEnd"/>
      <w:r w:rsidR="007A23E5">
        <w:rPr>
          <w:rFonts w:ascii="Cambria" w:hAnsi="Cambria"/>
          <w:sz w:val="24"/>
          <w:szCs w:val="24"/>
        </w:rPr>
        <w:t xml:space="preserve"> </w:t>
      </w:r>
      <w:proofErr w:type="spellStart"/>
      <w:r w:rsidR="007A23E5">
        <w:rPr>
          <w:rFonts w:ascii="Cambria" w:hAnsi="Cambria"/>
          <w:sz w:val="24"/>
          <w:szCs w:val="24"/>
        </w:rPr>
        <w:t>Taran</w:t>
      </w:r>
      <w:proofErr w:type="spellEnd"/>
      <w:r w:rsidR="007A23E5">
        <w:rPr>
          <w:rFonts w:ascii="Cambria" w:hAnsi="Cambria"/>
          <w:sz w:val="24"/>
          <w:szCs w:val="24"/>
        </w:rPr>
        <w:t xml:space="preserve"> </w:t>
      </w:r>
      <w:proofErr w:type="spellStart"/>
      <w:r w:rsidR="007A23E5">
        <w:rPr>
          <w:rFonts w:ascii="Cambria" w:hAnsi="Cambria"/>
          <w:sz w:val="24"/>
          <w:szCs w:val="24"/>
        </w:rPr>
        <w:t>Diallo</w:t>
      </w:r>
      <w:proofErr w:type="spellEnd"/>
      <w:r w:rsidR="007A23E5">
        <w:rPr>
          <w:rFonts w:ascii="Cambria" w:hAnsi="Cambria"/>
          <w:sz w:val="24"/>
          <w:szCs w:val="24"/>
        </w:rPr>
        <w:t>,</w:t>
      </w:r>
    </w:p>
    <w:p w:rsidR="005B6F3A" w:rsidRDefault="005B6F3A" w:rsidP="00BB72C2">
      <w:pPr>
        <w:spacing w:line="480" w:lineRule="auto"/>
        <w:rPr>
          <w:rFonts w:ascii="Cambria" w:hAnsi="Cambria"/>
          <w:sz w:val="24"/>
          <w:szCs w:val="24"/>
        </w:rPr>
      </w:pPr>
      <w:r>
        <w:rPr>
          <w:rFonts w:ascii="Cambria" w:hAnsi="Cambria"/>
          <w:sz w:val="24"/>
          <w:szCs w:val="24"/>
        </w:rPr>
        <w:t xml:space="preserve">University </w:t>
      </w:r>
      <w:proofErr w:type="spellStart"/>
      <w:r>
        <w:rPr>
          <w:rFonts w:ascii="Cambria" w:hAnsi="Cambria"/>
          <w:sz w:val="24"/>
          <w:szCs w:val="24"/>
        </w:rPr>
        <w:t>Gamal</w:t>
      </w:r>
      <w:proofErr w:type="spellEnd"/>
      <w:r>
        <w:rPr>
          <w:rFonts w:ascii="Cambria" w:hAnsi="Cambria"/>
          <w:sz w:val="24"/>
          <w:szCs w:val="24"/>
        </w:rPr>
        <w:t xml:space="preserve"> Abdel Nasser of Conakry Guinea.</w:t>
      </w:r>
      <w:bookmarkStart w:id="0" w:name="_GoBack"/>
      <w:bookmarkEnd w:id="0"/>
    </w:p>
    <w:p w:rsidR="00BB72C2" w:rsidRPr="006278E1" w:rsidRDefault="00BB72C2" w:rsidP="006278E1">
      <w:pPr>
        <w:jc w:val="both"/>
        <w:rPr>
          <w:rFonts w:ascii="Cambria" w:hAnsi="Cambria"/>
          <w:b/>
          <w:sz w:val="24"/>
          <w:szCs w:val="24"/>
        </w:rPr>
      </w:pPr>
      <w:r w:rsidRPr="006278E1">
        <w:rPr>
          <w:rFonts w:ascii="Cambria" w:hAnsi="Cambria"/>
          <w:b/>
          <w:sz w:val="24"/>
          <w:szCs w:val="24"/>
        </w:rPr>
        <w:t>Abstract</w:t>
      </w:r>
      <w:r w:rsidR="00EA740A">
        <w:rPr>
          <w:rFonts w:ascii="Cambria" w:hAnsi="Cambria"/>
          <w:b/>
          <w:sz w:val="24"/>
          <w:szCs w:val="24"/>
        </w:rPr>
        <w:t>.</w:t>
      </w:r>
    </w:p>
    <w:p w:rsidR="00BB72C2" w:rsidRPr="006278E1" w:rsidRDefault="00BB72C2" w:rsidP="006278E1">
      <w:pPr>
        <w:spacing w:line="480" w:lineRule="auto"/>
        <w:jc w:val="both"/>
        <w:rPr>
          <w:rFonts w:ascii="Cambria" w:hAnsi="Cambria"/>
          <w:sz w:val="24"/>
          <w:szCs w:val="24"/>
        </w:rPr>
      </w:pPr>
      <w:r w:rsidRPr="006278E1">
        <w:rPr>
          <w:rFonts w:ascii="Cambria" w:hAnsi="Cambria"/>
          <w:b/>
          <w:sz w:val="24"/>
          <w:szCs w:val="24"/>
        </w:rPr>
        <w:t>The</w:t>
      </w:r>
      <w:r w:rsidRPr="006278E1">
        <w:rPr>
          <w:rFonts w:ascii="Cambria" w:hAnsi="Cambria"/>
          <w:sz w:val="24"/>
          <w:szCs w:val="24"/>
        </w:rPr>
        <w:t xml:space="preserve"> study aims to establish a relationship between pancreatic cancer and chronic pancreatitis, using NLR as a potential risk </w:t>
      </w:r>
      <w:r w:rsidR="00B0328A" w:rsidRPr="006278E1">
        <w:rPr>
          <w:rFonts w:ascii="Cambria" w:hAnsi="Cambria"/>
          <w:sz w:val="24"/>
          <w:szCs w:val="24"/>
        </w:rPr>
        <w:t>factor</w:t>
      </w:r>
      <w:r w:rsidRPr="006278E1">
        <w:rPr>
          <w:sz w:val="24"/>
          <w:szCs w:val="24"/>
        </w:rPr>
        <w:t>.</w:t>
      </w:r>
    </w:p>
    <w:p w:rsidR="00BB72C2" w:rsidRPr="006278E1" w:rsidRDefault="00BB72C2" w:rsidP="006278E1">
      <w:pPr>
        <w:spacing w:line="480" w:lineRule="auto"/>
        <w:jc w:val="both"/>
        <w:rPr>
          <w:rFonts w:ascii="Cambria" w:hAnsi="Cambria"/>
          <w:sz w:val="24"/>
          <w:szCs w:val="24"/>
        </w:rPr>
      </w:pPr>
      <w:r w:rsidRPr="006278E1">
        <w:rPr>
          <w:rFonts w:ascii="Cambria" w:hAnsi="Cambria"/>
          <w:b/>
          <w:sz w:val="24"/>
          <w:szCs w:val="24"/>
        </w:rPr>
        <w:t>Methodology</w:t>
      </w:r>
    </w:p>
    <w:p w:rsidR="00BB72C2" w:rsidRPr="006278E1" w:rsidRDefault="00BA624F" w:rsidP="00BA624F">
      <w:pPr>
        <w:spacing w:line="480" w:lineRule="auto"/>
        <w:ind w:firstLine="720"/>
        <w:jc w:val="both"/>
        <w:rPr>
          <w:rFonts w:ascii="Cambria" w:hAnsi="Cambria"/>
          <w:color w:val="000000"/>
          <w:sz w:val="24"/>
          <w:szCs w:val="24"/>
        </w:rPr>
      </w:pPr>
      <w:r>
        <w:rPr>
          <w:rFonts w:ascii="Cambria" w:hAnsi="Cambria"/>
          <w:sz w:val="24"/>
          <w:szCs w:val="24"/>
        </w:rPr>
        <w:t>Clinical</w:t>
      </w:r>
      <w:r w:rsidR="00BB72C2" w:rsidRPr="006278E1">
        <w:rPr>
          <w:rFonts w:ascii="Cambria" w:hAnsi="Cambria"/>
          <w:sz w:val="24"/>
          <w:szCs w:val="24"/>
        </w:rPr>
        <w:t xml:space="preserve"> data, blood dyscrasias, and immunohistopathological results of 400 observations and 200 healthy patients were studied in Pancreatic Disease Institute of Wuhan Union hospital in China. The group consisted of 256 male and 144 female subjects, with </w:t>
      </w:r>
      <w:r>
        <w:rPr>
          <w:rFonts w:ascii="Cambria" w:hAnsi="Cambria"/>
          <w:sz w:val="24"/>
          <w:szCs w:val="24"/>
        </w:rPr>
        <w:t>a sex ratio of 1.77:1. For</w:t>
      </w:r>
      <w:r w:rsidR="00BB72C2" w:rsidRPr="006278E1">
        <w:rPr>
          <w:rFonts w:ascii="Cambria" w:hAnsi="Cambria"/>
          <w:sz w:val="24"/>
          <w:szCs w:val="24"/>
        </w:rPr>
        <w:t xml:space="preserve"> follow-up, </w:t>
      </w:r>
      <w:r>
        <w:rPr>
          <w:rFonts w:ascii="Cambria" w:hAnsi="Cambria"/>
          <w:sz w:val="24"/>
          <w:szCs w:val="24"/>
        </w:rPr>
        <w:t>the chronic pancreatitis patients</w:t>
      </w:r>
      <w:r w:rsidR="00BB72C2" w:rsidRPr="006278E1">
        <w:rPr>
          <w:rFonts w:ascii="Cambria" w:hAnsi="Cambria"/>
          <w:sz w:val="24"/>
          <w:szCs w:val="24"/>
        </w:rPr>
        <w:t xml:space="preserve"> were divided int</w:t>
      </w:r>
      <w:r>
        <w:rPr>
          <w:rFonts w:ascii="Cambria" w:hAnsi="Cambria"/>
          <w:sz w:val="24"/>
          <w:szCs w:val="24"/>
        </w:rPr>
        <w:t xml:space="preserve">o two </w:t>
      </w:r>
      <w:proofErr w:type="gramStart"/>
      <w:r>
        <w:rPr>
          <w:rFonts w:ascii="Cambria" w:hAnsi="Cambria"/>
          <w:sz w:val="24"/>
          <w:szCs w:val="24"/>
        </w:rPr>
        <w:t>groups(</w:t>
      </w:r>
      <w:proofErr w:type="gramEnd"/>
      <w:r>
        <w:rPr>
          <w:rFonts w:ascii="Cambria" w:hAnsi="Cambria"/>
          <w:sz w:val="24"/>
          <w:szCs w:val="24"/>
        </w:rPr>
        <w:t>surgery, no surgery</w:t>
      </w:r>
      <w:r w:rsidR="00BB72C2" w:rsidRPr="006278E1">
        <w:rPr>
          <w:rFonts w:ascii="Cambria" w:hAnsi="Cambria"/>
          <w:sz w:val="24"/>
          <w:szCs w:val="24"/>
        </w:rPr>
        <w:t>)</w:t>
      </w:r>
      <w:r>
        <w:rPr>
          <w:rFonts w:ascii="Cambria" w:hAnsi="Cambria"/>
          <w:sz w:val="24"/>
          <w:szCs w:val="24"/>
        </w:rPr>
        <w:t>.  The</w:t>
      </w:r>
      <w:r w:rsidR="00BB72C2" w:rsidRPr="006278E1">
        <w:rPr>
          <w:rFonts w:ascii="Cambria" w:hAnsi="Cambria"/>
          <w:sz w:val="24"/>
          <w:szCs w:val="24"/>
        </w:rPr>
        <w:t xml:space="preserve"> etiological factors assessed in this study were: history of pancreatitis, neutrophil-to-lymphocytes ratio (NLR)</w:t>
      </w:r>
      <w:r w:rsidR="00BB72C2" w:rsidRPr="006278E1">
        <w:rPr>
          <w:rFonts w:ascii="Cambria" w:hAnsi="Times New Roman"/>
          <w:sz w:val="24"/>
          <w:szCs w:val="24"/>
        </w:rPr>
        <w:t>, the cumulative mali</w:t>
      </w:r>
      <w:r w:rsidR="00B0328A" w:rsidRPr="006278E1">
        <w:rPr>
          <w:rFonts w:ascii="Cambria" w:hAnsi="Times New Roman"/>
          <w:sz w:val="24"/>
          <w:szCs w:val="24"/>
        </w:rPr>
        <w:t>gnancy transformation risk</w:t>
      </w:r>
      <w:r w:rsidR="00BB72C2" w:rsidRPr="006278E1">
        <w:rPr>
          <w:rFonts w:ascii="Cambria" w:hAnsi="Cambria"/>
          <w:sz w:val="24"/>
          <w:szCs w:val="24"/>
        </w:rPr>
        <w:t xml:space="preserve">, </w:t>
      </w:r>
      <w:r>
        <w:rPr>
          <w:rFonts w:ascii="Cambria" w:hAnsi="Cambria"/>
          <w:sz w:val="24"/>
          <w:szCs w:val="24"/>
        </w:rPr>
        <w:t>and immunohistochemistry</w:t>
      </w:r>
      <w:r w:rsidR="00BB72C2" w:rsidRPr="006278E1">
        <w:rPr>
          <w:rFonts w:ascii="Cambria" w:hAnsi="Cambria"/>
          <w:sz w:val="24"/>
          <w:szCs w:val="24"/>
        </w:rPr>
        <w:t>.</w:t>
      </w:r>
    </w:p>
    <w:p w:rsidR="00BB72C2" w:rsidRPr="006278E1" w:rsidRDefault="00BB72C2" w:rsidP="006278E1">
      <w:pPr>
        <w:spacing w:line="480" w:lineRule="auto"/>
        <w:jc w:val="both"/>
        <w:rPr>
          <w:rFonts w:ascii="Cambria" w:hAnsi="Cambria"/>
          <w:color w:val="000000"/>
          <w:sz w:val="24"/>
          <w:szCs w:val="24"/>
        </w:rPr>
      </w:pPr>
      <w:r w:rsidRPr="006278E1">
        <w:rPr>
          <w:rFonts w:ascii="Cambria" w:hAnsi="Cambria"/>
          <w:b/>
          <w:color w:val="000000"/>
          <w:sz w:val="24"/>
          <w:szCs w:val="24"/>
        </w:rPr>
        <w:t>Results</w:t>
      </w:r>
    </w:p>
    <w:p w:rsidR="00BB72C2" w:rsidRPr="006278E1" w:rsidRDefault="00BB72C2" w:rsidP="006278E1">
      <w:pPr>
        <w:spacing w:line="480" w:lineRule="auto"/>
        <w:jc w:val="both"/>
        <w:rPr>
          <w:rFonts w:ascii="Cambria" w:hAnsi="Cambria"/>
          <w:color w:val="000000"/>
          <w:sz w:val="24"/>
          <w:szCs w:val="24"/>
        </w:rPr>
      </w:pPr>
      <w:r w:rsidRPr="006278E1">
        <w:rPr>
          <w:rFonts w:ascii="Cambria" w:hAnsi="Cambria"/>
          <w:color w:val="000000"/>
          <w:sz w:val="24"/>
          <w:szCs w:val="24"/>
        </w:rPr>
        <w:t>The incidence of pancreatic cancer in Chronic pancreatitis patients was 2.7% patients with adjusted hazard ratio 4.7</w:t>
      </w:r>
      <w:r w:rsidR="00BA624F">
        <w:rPr>
          <w:rFonts w:ascii="Cambria" w:hAnsi="Cambria"/>
          <w:color w:val="000000"/>
          <w:sz w:val="24"/>
          <w:szCs w:val="24"/>
        </w:rPr>
        <w:t>,</w:t>
      </w:r>
      <w:r w:rsidRPr="006278E1">
        <w:rPr>
          <w:rFonts w:ascii="Cambria" w:hAnsi="Cambria"/>
          <w:color w:val="000000"/>
          <w:sz w:val="24"/>
          <w:szCs w:val="24"/>
        </w:rPr>
        <w:t xml:space="preserve"> 95% confidence </w:t>
      </w:r>
      <w:proofErr w:type="gramStart"/>
      <w:r w:rsidRPr="006278E1">
        <w:rPr>
          <w:rFonts w:ascii="Cambria" w:hAnsi="Cambria"/>
          <w:color w:val="000000"/>
          <w:sz w:val="24"/>
          <w:szCs w:val="24"/>
        </w:rPr>
        <w:t>interval(</w:t>
      </w:r>
      <w:proofErr w:type="gramEnd"/>
      <w:r w:rsidRPr="006278E1">
        <w:rPr>
          <w:rFonts w:ascii="Cambria" w:hAnsi="Cambria"/>
          <w:color w:val="000000"/>
          <w:sz w:val="24"/>
          <w:szCs w:val="24"/>
        </w:rPr>
        <w:t xml:space="preserve">CI) </w:t>
      </w:r>
      <w:r w:rsidR="00BA624F">
        <w:rPr>
          <w:rFonts w:ascii="Cambria" w:hAnsi="Cambria"/>
          <w:color w:val="000000"/>
          <w:sz w:val="24"/>
          <w:szCs w:val="24"/>
        </w:rPr>
        <w:t>(3.8-5.6)</w:t>
      </w:r>
    </w:p>
    <w:p w:rsidR="00B0328A" w:rsidRPr="006278E1" w:rsidRDefault="00B86BC0" w:rsidP="00B86BC0">
      <w:pPr>
        <w:spacing w:line="480" w:lineRule="auto"/>
        <w:rPr>
          <w:rFonts w:ascii="Cambria" w:hAnsi="Cambria"/>
          <w:sz w:val="24"/>
          <w:szCs w:val="24"/>
        </w:rPr>
      </w:pPr>
      <w:r>
        <w:rPr>
          <w:rFonts w:ascii="Cambria" w:hAnsi="Cambria"/>
          <w:color w:val="000000"/>
          <w:sz w:val="24"/>
          <w:szCs w:val="24"/>
        </w:rPr>
        <w:lastRenderedPageBreak/>
        <w:t xml:space="preserve">Overall, 25 chronic pancreatitis patients were found to have evidence of malignant transformation,   6 of the 84 </w:t>
      </w:r>
      <w:proofErr w:type="spellStart"/>
      <w:r>
        <w:rPr>
          <w:rFonts w:ascii="Cambria" w:hAnsi="Cambria"/>
          <w:color w:val="000000"/>
          <w:sz w:val="24"/>
          <w:szCs w:val="24"/>
        </w:rPr>
        <w:t>postoperated</w:t>
      </w:r>
      <w:proofErr w:type="spellEnd"/>
      <w:r>
        <w:rPr>
          <w:rFonts w:ascii="Cambria" w:hAnsi="Cambria"/>
          <w:color w:val="000000"/>
          <w:sz w:val="24"/>
          <w:szCs w:val="24"/>
        </w:rPr>
        <w:t xml:space="preserve"> patients, and 19 out of 116 non-operated patients. Furthermore, 7 of these 19</w:t>
      </w:r>
      <w:r w:rsidR="00B0328A" w:rsidRPr="006278E1">
        <w:rPr>
          <w:rFonts w:ascii="Cambria" w:hAnsi="Cambria"/>
          <w:color w:val="000000"/>
          <w:sz w:val="24"/>
          <w:szCs w:val="24"/>
        </w:rPr>
        <w:t xml:space="preserve"> </w:t>
      </w:r>
      <w:proofErr w:type="gramStart"/>
      <w:r>
        <w:rPr>
          <w:rFonts w:ascii="Cambria" w:hAnsi="Cambria"/>
          <w:color w:val="000000"/>
          <w:sz w:val="24"/>
          <w:szCs w:val="24"/>
        </w:rPr>
        <w:t>patients  had</w:t>
      </w:r>
      <w:proofErr w:type="gramEnd"/>
      <w:r>
        <w:rPr>
          <w:rFonts w:ascii="Cambria" w:hAnsi="Cambria"/>
          <w:color w:val="000000"/>
          <w:sz w:val="24"/>
          <w:szCs w:val="24"/>
        </w:rPr>
        <w:t xml:space="preserve"> undergone surgical intervention for the malignancy.  </w:t>
      </w:r>
      <w:r w:rsidR="00BB72C2" w:rsidRPr="006278E1">
        <w:rPr>
          <w:rFonts w:ascii="Cambria" w:hAnsi="Cambria"/>
          <w:color w:val="000000"/>
          <w:sz w:val="24"/>
          <w:szCs w:val="24"/>
        </w:rPr>
        <w:t xml:space="preserve"> </w:t>
      </w:r>
      <w:r w:rsidR="00BB72C2" w:rsidRPr="006278E1">
        <w:rPr>
          <w:rFonts w:ascii="Cambria" w:hAnsi="Cambria"/>
          <w:sz w:val="24"/>
          <w:szCs w:val="24"/>
        </w:rPr>
        <w:t xml:space="preserve">The incidence of pancreatic cancer was significantly lower in </w:t>
      </w:r>
      <w:r>
        <w:rPr>
          <w:rFonts w:ascii="Cambria" w:hAnsi="Cambria"/>
          <w:sz w:val="24"/>
          <w:szCs w:val="24"/>
        </w:rPr>
        <w:t xml:space="preserve">surgically treated patients than in those were not, with </w:t>
      </w:r>
      <w:r w:rsidR="00BB72C2" w:rsidRPr="006278E1">
        <w:rPr>
          <w:rFonts w:ascii="Cambria" w:hAnsi="Cambria"/>
          <w:sz w:val="24"/>
          <w:szCs w:val="24"/>
        </w:rPr>
        <w:t>hazard ratio</w:t>
      </w:r>
      <w:r>
        <w:rPr>
          <w:rFonts w:ascii="Cambria" w:hAnsi="Cambria"/>
          <w:sz w:val="24"/>
          <w:szCs w:val="24"/>
        </w:rPr>
        <w:t xml:space="preserve"> </w:t>
      </w:r>
      <w:r w:rsidRPr="006278E1">
        <w:rPr>
          <w:rFonts w:ascii="Cambria" w:hAnsi="Cambria"/>
          <w:color w:val="000000"/>
          <w:sz w:val="24"/>
          <w:szCs w:val="24"/>
        </w:rPr>
        <w:t>0.63[0.8-1.2],</w:t>
      </w:r>
      <w:r w:rsidR="00BB72C2" w:rsidRPr="006278E1">
        <w:rPr>
          <w:rFonts w:ascii="Cambria" w:hAnsi="Cambria"/>
          <w:sz w:val="24"/>
          <w:szCs w:val="24"/>
        </w:rPr>
        <w:t xml:space="preserve"> estimated by Cox regression</w:t>
      </w:r>
      <w:r w:rsidR="00BB72C2" w:rsidRPr="006278E1">
        <w:rPr>
          <w:rFonts w:ascii="Cambria" w:hAnsi="Cambria"/>
          <w:color w:val="000000"/>
          <w:sz w:val="24"/>
          <w:szCs w:val="24"/>
        </w:rPr>
        <w:t xml:space="preserve"> 95% CI (P=0.02). </w:t>
      </w:r>
      <w:r>
        <w:rPr>
          <w:rFonts w:ascii="Cambria" w:hAnsi="Cambria"/>
          <w:color w:val="000000"/>
          <w:sz w:val="24"/>
          <w:szCs w:val="24"/>
        </w:rPr>
        <w:t xml:space="preserve"> The</w:t>
      </w:r>
      <w:r w:rsidR="00BB72C2" w:rsidRPr="006278E1">
        <w:rPr>
          <w:rFonts w:ascii="Cambria" w:hAnsi="Cambria"/>
          <w:color w:val="000000"/>
          <w:sz w:val="24"/>
          <w:szCs w:val="24"/>
        </w:rPr>
        <w:t xml:space="preserve"> cumulative m</w:t>
      </w:r>
      <w:r>
        <w:rPr>
          <w:rFonts w:ascii="Cambria" w:hAnsi="Cambria"/>
          <w:color w:val="000000"/>
          <w:sz w:val="24"/>
          <w:szCs w:val="24"/>
        </w:rPr>
        <w:t>alignancy transformation risk at</w:t>
      </w:r>
      <w:r w:rsidR="00BB72C2" w:rsidRPr="006278E1">
        <w:rPr>
          <w:rFonts w:ascii="Cambria" w:hAnsi="Cambria"/>
          <w:color w:val="000000"/>
          <w:sz w:val="24"/>
          <w:szCs w:val="24"/>
        </w:rPr>
        <w:t xml:space="preserve"> 5, 10,15,20,25 years is </w:t>
      </w:r>
      <w:r w:rsidR="00C52BD3">
        <w:rPr>
          <w:rFonts w:ascii="Cambria" w:hAnsi="Cambria"/>
          <w:color w:val="000000"/>
          <w:sz w:val="24"/>
          <w:szCs w:val="24"/>
        </w:rPr>
        <w:t>2</w:t>
      </w:r>
      <w:r w:rsidR="00F52254">
        <w:rPr>
          <w:rFonts w:ascii="Cambria" w:hAnsi="Cambria"/>
          <w:color w:val="000000"/>
          <w:sz w:val="24"/>
          <w:szCs w:val="24"/>
        </w:rPr>
        <w:t>.1</w:t>
      </w:r>
      <w:r>
        <w:rPr>
          <w:rFonts w:ascii="Cambria" w:hAnsi="Cambria"/>
          <w:color w:val="000000"/>
          <w:sz w:val="24"/>
          <w:szCs w:val="24"/>
        </w:rPr>
        <w:t>%</w:t>
      </w:r>
      <w:proofErr w:type="gramStart"/>
      <w:r>
        <w:rPr>
          <w:rFonts w:ascii="Cambria" w:hAnsi="Cambria"/>
          <w:color w:val="000000"/>
          <w:sz w:val="24"/>
          <w:szCs w:val="24"/>
        </w:rPr>
        <w:t>,5.4</w:t>
      </w:r>
      <w:proofErr w:type="gramEnd"/>
      <w:r>
        <w:rPr>
          <w:rFonts w:ascii="Cambria" w:hAnsi="Cambria"/>
          <w:color w:val="000000"/>
          <w:sz w:val="24"/>
          <w:szCs w:val="24"/>
        </w:rPr>
        <w:t xml:space="preserve">%,7.3%,11.2%,15,1% </w:t>
      </w:r>
      <w:r w:rsidR="00BB72C2" w:rsidRPr="006278E1">
        <w:rPr>
          <w:rFonts w:ascii="Cambria" w:hAnsi="Cambria"/>
          <w:color w:val="000000"/>
          <w:sz w:val="24"/>
          <w:szCs w:val="24"/>
        </w:rPr>
        <w:t>respectively</w:t>
      </w:r>
      <w:r>
        <w:rPr>
          <w:rFonts w:ascii="Cambria" w:hAnsi="Cambria"/>
          <w:color w:val="000000"/>
          <w:sz w:val="24"/>
          <w:szCs w:val="24"/>
        </w:rPr>
        <w:t xml:space="preserve">.  </w:t>
      </w:r>
      <w:r>
        <w:rPr>
          <w:rFonts w:ascii="Cambria" w:hAnsi="Cambria"/>
          <w:sz w:val="24"/>
          <w:szCs w:val="24"/>
        </w:rPr>
        <w:t xml:space="preserve">  </w:t>
      </w:r>
      <w:r w:rsidR="00DA512B">
        <w:rPr>
          <w:rFonts w:ascii="Cambria" w:hAnsi="Cambria"/>
          <w:sz w:val="24"/>
          <w:szCs w:val="24"/>
        </w:rPr>
        <w:t xml:space="preserve">Risk for cancer in chronic pancreatitis patients </w:t>
      </w:r>
      <w:r w:rsidR="00BB72C2" w:rsidRPr="006278E1">
        <w:rPr>
          <w:rFonts w:ascii="Cambria" w:hAnsi="Cambria"/>
          <w:sz w:val="24"/>
          <w:szCs w:val="24"/>
        </w:rPr>
        <w:t>with high n</w:t>
      </w:r>
      <w:r w:rsidR="00DA512B">
        <w:rPr>
          <w:rFonts w:ascii="Cambria" w:hAnsi="Cambria"/>
          <w:sz w:val="24"/>
          <w:szCs w:val="24"/>
        </w:rPr>
        <w:t xml:space="preserve">eutrophil-to-lymphocyte ratio was estimated at a hazard </w:t>
      </w:r>
      <w:proofErr w:type="gramStart"/>
      <w:r w:rsidR="00DA512B">
        <w:rPr>
          <w:rFonts w:ascii="Cambria" w:hAnsi="Cambria"/>
          <w:sz w:val="24"/>
          <w:szCs w:val="24"/>
        </w:rPr>
        <w:t>ratio  3.2</w:t>
      </w:r>
      <w:proofErr w:type="gramEnd"/>
      <w:r w:rsidR="00DA512B">
        <w:rPr>
          <w:rFonts w:ascii="Cambria" w:hAnsi="Cambria"/>
          <w:sz w:val="24"/>
          <w:szCs w:val="24"/>
        </w:rPr>
        <w:t xml:space="preserve"> (</w:t>
      </w:r>
      <w:r w:rsidR="00BB72C2" w:rsidRPr="006278E1">
        <w:rPr>
          <w:rFonts w:ascii="Cambria" w:hAnsi="Cambria"/>
          <w:sz w:val="24"/>
          <w:szCs w:val="24"/>
        </w:rPr>
        <w:t>2.6-3.8)</w:t>
      </w:r>
      <w:r w:rsidR="00DA512B">
        <w:rPr>
          <w:rFonts w:ascii="Cambria" w:hAnsi="Cambria"/>
          <w:sz w:val="24"/>
          <w:szCs w:val="24"/>
        </w:rPr>
        <w:t>, 95% CI.</w:t>
      </w:r>
    </w:p>
    <w:p w:rsidR="00BB72C2" w:rsidRPr="006278E1" w:rsidRDefault="00BB72C2" w:rsidP="006278E1">
      <w:pPr>
        <w:autoSpaceDE w:val="0"/>
        <w:autoSpaceDN w:val="0"/>
        <w:spacing w:line="480" w:lineRule="auto"/>
        <w:jc w:val="both"/>
        <w:rPr>
          <w:rFonts w:ascii="Cambria" w:hAnsi="Cambria" w:cs="TimesNewRomanPSMT"/>
          <w:sz w:val="24"/>
          <w:szCs w:val="24"/>
        </w:rPr>
      </w:pPr>
      <w:r w:rsidRPr="006278E1">
        <w:rPr>
          <w:rFonts w:ascii="Cambria" w:hAnsi="Cambria"/>
          <w:b/>
          <w:color w:val="000000"/>
          <w:sz w:val="24"/>
          <w:szCs w:val="24"/>
          <w:shd w:val="clear" w:color="auto" w:fill="FFFFFF"/>
        </w:rPr>
        <w:t xml:space="preserve"> Conclusion</w:t>
      </w:r>
      <w:r w:rsidRPr="006278E1">
        <w:rPr>
          <w:rFonts w:ascii="Cambria" w:hAnsi="Cambria"/>
          <w:color w:val="000000"/>
          <w:sz w:val="24"/>
          <w:szCs w:val="24"/>
          <w:shd w:val="clear" w:color="auto" w:fill="FFFFFF"/>
        </w:rPr>
        <w:t>;</w:t>
      </w:r>
    </w:p>
    <w:p w:rsidR="00BB72C2" w:rsidRPr="006278E1" w:rsidRDefault="00BB72C2" w:rsidP="006278E1">
      <w:pPr>
        <w:spacing w:line="480" w:lineRule="auto"/>
        <w:jc w:val="both"/>
        <w:rPr>
          <w:rFonts w:ascii="Cambria" w:hAnsi="Cambria"/>
          <w:sz w:val="24"/>
          <w:szCs w:val="24"/>
        </w:rPr>
      </w:pPr>
      <w:r w:rsidRPr="006278E1">
        <w:rPr>
          <w:rFonts w:ascii="Cambria" w:hAnsi="Cambria"/>
          <w:color w:val="000000"/>
          <w:sz w:val="24"/>
          <w:szCs w:val="24"/>
          <w:shd w:val="clear" w:color="auto" w:fill="FFFFFF"/>
        </w:rPr>
        <w:t>Our study demonstrated that the neutrophil-to-lymphocyte ratio</w:t>
      </w:r>
      <w:r w:rsidR="00DA512B">
        <w:rPr>
          <w:rFonts w:ascii="Cambria" w:hAnsi="Cambria"/>
          <w:color w:val="000000"/>
          <w:sz w:val="24"/>
          <w:szCs w:val="24"/>
          <w:shd w:val="clear" w:color="auto" w:fill="FFFFFF"/>
        </w:rPr>
        <w:t xml:space="preserve"> is of critical use for assessing prognosis in pancreatic cancer and as a known risk factor for cancer in </w:t>
      </w:r>
      <w:r w:rsidRPr="006278E1">
        <w:rPr>
          <w:rFonts w:ascii="Cambria" w:hAnsi="Cambria"/>
          <w:color w:val="000000"/>
          <w:sz w:val="24"/>
          <w:szCs w:val="24"/>
          <w:shd w:val="clear" w:color="auto" w:fill="FFFFFF"/>
        </w:rPr>
        <w:t>chronic p</w:t>
      </w:r>
      <w:r w:rsidR="00DA512B">
        <w:rPr>
          <w:rFonts w:ascii="Cambria" w:hAnsi="Cambria"/>
          <w:color w:val="000000"/>
          <w:sz w:val="24"/>
          <w:szCs w:val="24"/>
          <w:shd w:val="clear" w:color="auto" w:fill="FFFFFF"/>
        </w:rPr>
        <w:t xml:space="preserve">ancreatitis.  </w:t>
      </w:r>
    </w:p>
    <w:p w:rsidR="00DA512B" w:rsidRPr="00DA512B" w:rsidRDefault="00DA512B" w:rsidP="00DA512B">
      <w:pPr>
        <w:adjustRightInd/>
        <w:snapToGrid/>
        <w:spacing w:after="0"/>
        <w:jc w:val="both"/>
        <w:rPr>
          <w:rFonts w:ascii="Times New Roman" w:eastAsia="Times New Roman" w:hAnsi="Times New Roman" w:cs="Times New Roman"/>
          <w:b/>
          <w:sz w:val="24"/>
          <w:szCs w:val="24"/>
          <w:lang w:val="it-IT" w:eastAsia="it-IT"/>
        </w:rPr>
      </w:pPr>
      <w:r w:rsidRPr="00DA512B">
        <w:rPr>
          <w:rFonts w:ascii="Times New Roman" w:eastAsia="Times New Roman" w:hAnsi="Times New Roman" w:cs="Times New Roman"/>
          <w:b/>
          <w:sz w:val="24"/>
          <w:szCs w:val="24"/>
          <w:lang w:val="it-IT" w:eastAsia="it-IT"/>
        </w:rPr>
        <w:t>Biography</w:t>
      </w:r>
    </w:p>
    <w:p w:rsidR="00DA512B" w:rsidRDefault="00DA512B" w:rsidP="00DA512B">
      <w:pPr>
        <w:adjustRightInd/>
        <w:snapToGrid/>
        <w:spacing w:after="0"/>
        <w:jc w:val="both"/>
        <w:rPr>
          <w:rFonts w:ascii="Times New Roman" w:eastAsia="Times New Roman" w:hAnsi="Times New Roman" w:cs="Times New Roman"/>
          <w:sz w:val="24"/>
          <w:szCs w:val="24"/>
          <w:lang w:val="it-IT" w:eastAsia="it-IT"/>
        </w:rPr>
      </w:pPr>
      <w:r>
        <w:rPr>
          <w:rFonts w:ascii="Times New Roman" w:eastAsia="Times New Roman" w:hAnsi="Times New Roman" w:cs="Times New Roman"/>
          <w:b/>
          <w:sz w:val="24"/>
          <w:szCs w:val="24"/>
          <w:lang w:val="it-IT" w:eastAsia="it-IT"/>
        </w:rPr>
        <w:t xml:space="preserve">Soriba Naby Camara </w:t>
      </w:r>
      <w:r w:rsidRPr="00DA512B">
        <w:rPr>
          <w:rFonts w:ascii="Times New Roman" w:eastAsia="Times New Roman" w:hAnsi="Times New Roman" w:cs="Times New Roman"/>
          <w:sz w:val="24"/>
          <w:szCs w:val="24"/>
          <w:lang w:val="it-IT" w:eastAsia="it-IT"/>
        </w:rPr>
        <w:t>has c</w:t>
      </w:r>
      <w:r w:rsidR="00510C84">
        <w:rPr>
          <w:rFonts w:ascii="Times New Roman" w:eastAsia="Times New Roman" w:hAnsi="Times New Roman" w:cs="Times New Roman"/>
          <w:sz w:val="24"/>
          <w:szCs w:val="24"/>
          <w:lang w:val="it-IT" w:eastAsia="it-IT"/>
        </w:rPr>
        <w:t xml:space="preserve">ompleted his PhD at the age of 35 years from Tongji Medical College of Huazhong </w:t>
      </w:r>
      <w:r w:rsidRPr="00DA512B">
        <w:rPr>
          <w:rFonts w:ascii="Times New Roman" w:eastAsia="Times New Roman" w:hAnsi="Times New Roman" w:cs="Times New Roman"/>
          <w:sz w:val="24"/>
          <w:szCs w:val="24"/>
          <w:lang w:val="it-IT" w:eastAsia="it-IT"/>
        </w:rPr>
        <w:t>University</w:t>
      </w:r>
      <w:r w:rsidR="00510C84">
        <w:rPr>
          <w:rFonts w:ascii="Times New Roman" w:eastAsia="Times New Roman" w:hAnsi="Times New Roman" w:cs="Times New Roman"/>
          <w:sz w:val="24"/>
          <w:szCs w:val="24"/>
          <w:lang w:val="it-IT" w:eastAsia="it-IT"/>
        </w:rPr>
        <w:t xml:space="preserve"> of Science and Technology.  </w:t>
      </w:r>
      <w:r w:rsidRPr="00DA512B">
        <w:rPr>
          <w:rFonts w:ascii="Times New Roman" w:eastAsia="Times New Roman" w:hAnsi="Times New Roman" w:cs="Times New Roman"/>
          <w:sz w:val="24"/>
          <w:szCs w:val="24"/>
          <w:lang w:val="it-IT" w:eastAsia="it-IT"/>
        </w:rPr>
        <w:t xml:space="preserve">He has published more than </w:t>
      </w:r>
      <w:r w:rsidR="00510C84">
        <w:rPr>
          <w:rFonts w:ascii="Times New Roman" w:eastAsia="Times New Roman" w:hAnsi="Times New Roman" w:cs="Times New Roman"/>
          <w:sz w:val="24"/>
          <w:szCs w:val="24"/>
          <w:lang w:val="it-IT" w:eastAsia="it-IT"/>
        </w:rPr>
        <w:t>13</w:t>
      </w:r>
      <w:r w:rsidRPr="00DA512B">
        <w:rPr>
          <w:rFonts w:ascii="Times New Roman" w:eastAsia="Times New Roman" w:hAnsi="Times New Roman" w:cs="Times New Roman"/>
          <w:sz w:val="24"/>
          <w:szCs w:val="24"/>
          <w:lang w:val="it-IT" w:eastAsia="it-IT"/>
        </w:rPr>
        <w:t xml:space="preserve"> papers in </w:t>
      </w:r>
      <w:r w:rsidR="00510C84">
        <w:rPr>
          <w:rFonts w:ascii="Times New Roman" w:eastAsia="Times New Roman" w:hAnsi="Times New Roman" w:cs="Times New Roman"/>
          <w:sz w:val="24"/>
          <w:szCs w:val="24"/>
          <w:lang w:val="it-IT" w:eastAsia="it-IT"/>
        </w:rPr>
        <w:t>several journals including reputed ones.</w:t>
      </w:r>
    </w:p>
    <w:p w:rsidR="00510C84" w:rsidRDefault="00510C84" w:rsidP="00DA512B">
      <w:pPr>
        <w:adjustRightInd/>
        <w:snapToGrid/>
        <w:spacing w:after="0"/>
        <w:jc w:val="both"/>
        <w:rPr>
          <w:rFonts w:ascii="Times New Roman" w:eastAsia="Times New Roman" w:hAnsi="Times New Roman" w:cs="Times New Roman"/>
          <w:sz w:val="24"/>
          <w:szCs w:val="24"/>
          <w:lang w:val="it-IT" w:eastAsia="it-IT"/>
        </w:rPr>
      </w:pPr>
    </w:p>
    <w:p w:rsidR="00510C84" w:rsidRPr="00DA512B" w:rsidRDefault="00510C84" w:rsidP="00DA512B">
      <w:pPr>
        <w:adjustRightInd/>
        <w:snapToGrid/>
        <w:spacing w:after="0"/>
        <w:jc w:val="both"/>
        <w:rPr>
          <w:rFonts w:ascii="Times New Roman" w:eastAsia="Times New Roman" w:hAnsi="Times New Roman" w:cs="Times New Roman"/>
          <w:b/>
          <w:sz w:val="24"/>
          <w:szCs w:val="24"/>
          <w:lang w:val="it-IT" w:eastAsia="it-IT"/>
        </w:rPr>
      </w:pPr>
    </w:p>
    <w:p w:rsidR="00DA512B" w:rsidRPr="00DA512B" w:rsidRDefault="00DA512B" w:rsidP="00DA512B">
      <w:pPr>
        <w:autoSpaceDE w:val="0"/>
        <w:autoSpaceDN w:val="0"/>
        <w:snapToGrid/>
        <w:spacing w:after="0"/>
        <w:rPr>
          <w:rFonts w:ascii="Times New Roman" w:eastAsia="Times New Roman" w:hAnsi="Times New Roman" w:cs="Times New Roman"/>
          <w:sz w:val="24"/>
          <w:szCs w:val="24"/>
          <w:lang w:val="en-NZ" w:eastAsia="it-IT"/>
        </w:rPr>
      </w:pPr>
      <w:r w:rsidRPr="00DA512B">
        <w:rPr>
          <w:rFonts w:ascii="Times New Roman" w:eastAsia="Times New Roman" w:hAnsi="Times New Roman" w:cs="Times New Roman"/>
          <w:b/>
          <w:sz w:val="24"/>
          <w:szCs w:val="24"/>
          <w:lang w:val="en-NZ" w:eastAsia="it-IT"/>
        </w:rPr>
        <w:t xml:space="preserve">Presenting author details </w:t>
      </w:r>
      <w:r w:rsidRPr="00DA512B">
        <w:rPr>
          <w:rFonts w:ascii="Times New Roman" w:eastAsia="Times New Roman" w:hAnsi="Times New Roman" w:cs="Times New Roman"/>
          <w:b/>
          <w:sz w:val="24"/>
          <w:szCs w:val="24"/>
          <w:lang w:val="en-NZ" w:eastAsia="it-IT"/>
        </w:rPr>
        <w:br/>
      </w:r>
      <w:r w:rsidRPr="00DA512B">
        <w:rPr>
          <w:rFonts w:ascii="Times New Roman" w:eastAsia="Times New Roman" w:hAnsi="Times New Roman" w:cs="Times New Roman"/>
          <w:sz w:val="24"/>
          <w:szCs w:val="24"/>
          <w:lang w:val="en-NZ" w:eastAsia="it-IT"/>
        </w:rPr>
        <w:t xml:space="preserve">Full name: </w:t>
      </w:r>
      <w:r w:rsidR="00510C84">
        <w:rPr>
          <w:rFonts w:ascii="Times New Roman" w:eastAsia="Times New Roman" w:hAnsi="Times New Roman" w:cs="Times New Roman"/>
          <w:sz w:val="24"/>
          <w:szCs w:val="24"/>
          <w:lang w:val="en-NZ" w:eastAsia="it-IT"/>
        </w:rPr>
        <w:t xml:space="preserve">Soriba </w:t>
      </w:r>
      <w:proofErr w:type="spellStart"/>
      <w:r w:rsidR="00510C84">
        <w:rPr>
          <w:rFonts w:ascii="Times New Roman" w:eastAsia="Times New Roman" w:hAnsi="Times New Roman" w:cs="Times New Roman"/>
          <w:sz w:val="24"/>
          <w:szCs w:val="24"/>
          <w:lang w:val="en-NZ" w:eastAsia="it-IT"/>
        </w:rPr>
        <w:t>Naby</w:t>
      </w:r>
      <w:proofErr w:type="spellEnd"/>
      <w:r w:rsidR="00510C84">
        <w:rPr>
          <w:rFonts w:ascii="Times New Roman" w:eastAsia="Times New Roman" w:hAnsi="Times New Roman" w:cs="Times New Roman"/>
          <w:sz w:val="24"/>
          <w:szCs w:val="24"/>
          <w:lang w:val="en-NZ" w:eastAsia="it-IT"/>
        </w:rPr>
        <w:t xml:space="preserve"> </w:t>
      </w:r>
      <w:proofErr w:type="spellStart"/>
      <w:r w:rsidR="00510C84">
        <w:rPr>
          <w:rFonts w:ascii="Times New Roman" w:eastAsia="Times New Roman" w:hAnsi="Times New Roman" w:cs="Times New Roman"/>
          <w:sz w:val="24"/>
          <w:szCs w:val="24"/>
          <w:lang w:val="en-NZ" w:eastAsia="it-IT"/>
        </w:rPr>
        <w:t>Camara</w:t>
      </w:r>
      <w:proofErr w:type="spellEnd"/>
      <w:r w:rsidRPr="00DA512B">
        <w:rPr>
          <w:rFonts w:ascii="Times New Roman" w:eastAsia="Times New Roman" w:hAnsi="Times New Roman" w:cs="Times New Roman"/>
          <w:sz w:val="24"/>
          <w:szCs w:val="24"/>
          <w:lang w:val="en-NZ" w:eastAsia="it-IT"/>
        </w:rPr>
        <w:br/>
        <w:t>Contact number:</w:t>
      </w:r>
      <w:r w:rsidR="00510C84">
        <w:rPr>
          <w:rFonts w:ascii="Times New Roman" w:eastAsia="Times New Roman" w:hAnsi="Times New Roman" w:cs="Times New Roman"/>
          <w:sz w:val="24"/>
          <w:szCs w:val="24"/>
          <w:lang w:val="en-NZ" w:eastAsia="it-IT"/>
        </w:rPr>
        <w:t xml:space="preserve"> 00224655055345</w:t>
      </w:r>
      <w:r w:rsidRPr="00DA512B">
        <w:rPr>
          <w:rFonts w:ascii="Times New Roman" w:eastAsia="Times New Roman" w:hAnsi="Times New Roman" w:cs="Times New Roman"/>
          <w:sz w:val="24"/>
          <w:szCs w:val="24"/>
          <w:lang w:val="en-NZ" w:eastAsia="it-IT"/>
        </w:rPr>
        <w:br/>
        <w:t>Session name</w:t>
      </w:r>
      <w:r w:rsidR="00BE648C">
        <w:rPr>
          <w:rFonts w:ascii="Times New Roman" w:eastAsia="Times New Roman" w:hAnsi="Times New Roman" w:cs="Times New Roman"/>
          <w:sz w:val="24"/>
          <w:szCs w:val="24"/>
          <w:lang w:val="en-NZ" w:eastAsia="it-IT"/>
        </w:rPr>
        <w:t>/ 8</w:t>
      </w:r>
      <w:r w:rsidRPr="00DA512B">
        <w:rPr>
          <w:rFonts w:ascii="Times New Roman" w:eastAsia="Times New Roman" w:hAnsi="Times New Roman" w:cs="Times New Roman"/>
          <w:sz w:val="24"/>
          <w:szCs w:val="24"/>
          <w:lang w:val="en-NZ" w:eastAsia="it-IT"/>
        </w:rPr>
        <w:br/>
        <w:t>Category: Poster presentation</w:t>
      </w:r>
      <w:r w:rsidRPr="00DA512B">
        <w:rPr>
          <w:rFonts w:ascii="Times New Roman" w:eastAsia="Times New Roman" w:hAnsi="Times New Roman" w:cs="Times New Roman"/>
          <w:sz w:val="24"/>
          <w:szCs w:val="24"/>
          <w:lang w:val="en-NZ" w:eastAsia="it-IT"/>
        </w:rPr>
        <w:br/>
      </w:r>
    </w:p>
    <w:p w:rsidR="00DC64E9" w:rsidRPr="00DA512B" w:rsidRDefault="00DC64E9" w:rsidP="006278E1">
      <w:pPr>
        <w:jc w:val="both"/>
        <w:rPr>
          <w:sz w:val="24"/>
          <w:szCs w:val="24"/>
          <w:lang w:val="en-NZ"/>
        </w:rPr>
      </w:pPr>
    </w:p>
    <w:sectPr w:rsidR="00DC64E9" w:rsidRPr="00DA512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89D"/>
    <w:rsid w:val="00510C84"/>
    <w:rsid w:val="005B6F3A"/>
    <w:rsid w:val="00625818"/>
    <w:rsid w:val="006278E1"/>
    <w:rsid w:val="007A23E5"/>
    <w:rsid w:val="00A6189D"/>
    <w:rsid w:val="00B0328A"/>
    <w:rsid w:val="00B86BC0"/>
    <w:rsid w:val="00BA624F"/>
    <w:rsid w:val="00BB72C2"/>
    <w:rsid w:val="00BE648C"/>
    <w:rsid w:val="00C52BD3"/>
    <w:rsid w:val="00DA512B"/>
    <w:rsid w:val="00DC64E9"/>
    <w:rsid w:val="00E9082C"/>
    <w:rsid w:val="00EA740A"/>
    <w:rsid w:val="00EC68F8"/>
    <w:rsid w:val="00F46D49"/>
    <w:rsid w:val="00F52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C2"/>
    <w:pPr>
      <w:adjustRightInd w:val="0"/>
      <w:snapToGrid w:val="0"/>
      <w:spacing w:line="240" w:lineRule="auto"/>
    </w:pPr>
    <w:rPr>
      <w:rFonts w:ascii="Tahoma" w:eastAsia="微软雅黑"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2C2"/>
    <w:pPr>
      <w:adjustRightInd w:val="0"/>
      <w:snapToGrid w:val="0"/>
      <w:spacing w:line="240" w:lineRule="auto"/>
    </w:pPr>
    <w:rPr>
      <w:rFonts w:ascii="Tahoma" w:eastAsia="微软雅黑"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cp:revision>
  <dcterms:created xsi:type="dcterms:W3CDTF">2016-06-04T09:34:00Z</dcterms:created>
  <dcterms:modified xsi:type="dcterms:W3CDTF">2016-06-04T15:07:00Z</dcterms:modified>
</cp:coreProperties>
</file>