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9E0B3" w14:textId="77777777" w:rsidR="00AE3E37" w:rsidRPr="00AC559E" w:rsidRDefault="00161D7F" w:rsidP="00494130">
      <w:pPr>
        <w:pStyle w:val="Heading1"/>
        <w:spacing w:before="170"/>
        <w:ind w:left="0"/>
        <w:rPr>
          <w:sz w:val="28"/>
          <w:szCs w:val="28"/>
        </w:rPr>
      </w:pPr>
      <w:r w:rsidRPr="00AC559E">
        <w:rPr>
          <w:color w:val="337AB7"/>
          <w:sz w:val="28"/>
          <w:szCs w:val="28"/>
        </w:rPr>
        <w:t>The Intersectionality of Trauma and Grief: The Gifts of EMDR</w:t>
      </w:r>
    </w:p>
    <w:p w14:paraId="1FDE1A81" w14:textId="55545496" w:rsidR="00161D7F" w:rsidRPr="00AC559E" w:rsidRDefault="00161D7F" w:rsidP="00AC559E">
      <w:pPr>
        <w:pStyle w:val="BodyText"/>
        <w:spacing w:before="73" w:line="198" w:lineRule="exact"/>
        <w:ind w:right="5987"/>
        <w:rPr>
          <w:rFonts w:ascii="Arial"/>
          <w:b/>
          <w:sz w:val="16"/>
          <w:szCs w:val="16"/>
        </w:rPr>
      </w:pPr>
      <w:r w:rsidRPr="00AC559E">
        <w:rPr>
          <w:rFonts w:ascii="Arial"/>
          <w:b/>
          <w:sz w:val="16"/>
          <w:szCs w:val="16"/>
        </w:rPr>
        <w:t>Christine Kennedy, M.Div., Ph.D., LPC, Philadelphia University</w:t>
      </w:r>
      <w:r w:rsidR="006B2A23" w:rsidRPr="00AC559E">
        <w:rPr>
          <w:rFonts w:ascii="Arial"/>
          <w:b/>
          <w:sz w:val="16"/>
          <w:szCs w:val="16"/>
        </w:rPr>
        <w:t>,</w:t>
      </w:r>
      <w:r w:rsidRPr="00AC559E">
        <w:rPr>
          <w:rFonts w:ascii="Arial"/>
          <w:b/>
          <w:sz w:val="16"/>
          <w:szCs w:val="16"/>
        </w:rPr>
        <w:t xml:space="preserve"> </w:t>
      </w:r>
      <w:r w:rsidR="00AC559E" w:rsidRPr="00AC559E">
        <w:rPr>
          <w:rFonts w:ascii="Arial"/>
          <w:b/>
          <w:sz w:val="16"/>
          <w:szCs w:val="16"/>
        </w:rPr>
        <w:t xml:space="preserve">Philadelphia, PA </w:t>
      </w:r>
      <w:r w:rsidRPr="00AC559E">
        <w:rPr>
          <w:rFonts w:ascii="Arial"/>
          <w:b/>
          <w:sz w:val="16"/>
          <w:szCs w:val="16"/>
        </w:rPr>
        <w:t>USA</w:t>
      </w:r>
    </w:p>
    <w:p w14:paraId="26AB9AC9" w14:textId="6CF15B8B" w:rsidR="00161D7F" w:rsidRPr="00AC559E" w:rsidRDefault="006B2A23" w:rsidP="00AC559E">
      <w:pPr>
        <w:pStyle w:val="BodyText"/>
        <w:spacing w:before="73" w:line="198" w:lineRule="exact"/>
        <w:ind w:right="5987"/>
        <w:rPr>
          <w:rFonts w:ascii="Arial"/>
          <w:b/>
          <w:sz w:val="16"/>
          <w:szCs w:val="16"/>
        </w:rPr>
      </w:pPr>
      <w:r w:rsidRPr="00AC559E">
        <w:rPr>
          <w:rFonts w:ascii="Arial"/>
          <w:b/>
          <w:sz w:val="16"/>
          <w:szCs w:val="16"/>
        </w:rPr>
        <w:t>El</w:t>
      </w:r>
      <w:r w:rsidR="00F52CB7">
        <w:rPr>
          <w:rFonts w:ascii="Arial"/>
          <w:b/>
          <w:sz w:val="16"/>
          <w:szCs w:val="16"/>
        </w:rPr>
        <w:t>ise Gaul, MS,</w:t>
      </w:r>
      <w:r w:rsidRPr="00AC559E">
        <w:rPr>
          <w:rFonts w:ascii="Arial"/>
          <w:b/>
          <w:sz w:val="16"/>
          <w:szCs w:val="16"/>
        </w:rPr>
        <w:t xml:space="preserve"> CT, LPC, Bryn Mawr, PA USA</w:t>
      </w:r>
    </w:p>
    <w:p w14:paraId="205DD548" w14:textId="77777777" w:rsidR="00AE3E37" w:rsidRPr="00AC559E" w:rsidRDefault="00AE3E37">
      <w:pPr>
        <w:pStyle w:val="BodyText"/>
        <w:spacing w:before="3"/>
        <w:rPr>
          <w:rFonts w:ascii="Arial"/>
          <w:b/>
          <w:sz w:val="20"/>
          <w:szCs w:val="20"/>
        </w:rPr>
      </w:pPr>
    </w:p>
    <w:p w14:paraId="4ACBF0D7" w14:textId="77777777" w:rsidR="00AE3E37" w:rsidRPr="00AC559E" w:rsidRDefault="00AE3E37">
      <w:pPr>
        <w:rPr>
          <w:rFonts w:ascii="Arial"/>
          <w:b/>
          <w:sz w:val="20"/>
          <w:szCs w:val="20"/>
        </w:rPr>
        <w:sectPr w:rsidR="00AE3E37" w:rsidRPr="00AC559E">
          <w:headerReference w:type="default" r:id="rId7"/>
          <w:footerReference w:type="default" r:id="rId8"/>
          <w:type w:val="continuous"/>
          <w:pgSz w:w="11910" w:h="16840"/>
          <w:pgMar w:top="1740" w:right="600" w:bottom="840" w:left="620" w:header="541" w:footer="642" w:gutter="0"/>
          <w:cols w:space="720"/>
        </w:sectPr>
      </w:pPr>
    </w:p>
    <w:p w14:paraId="3ADC0C17" w14:textId="0251E4D4" w:rsidR="009B0B7D" w:rsidRDefault="00A9710C" w:rsidP="00F52CB7">
      <w:pPr>
        <w:pStyle w:val="Heading3"/>
        <w:spacing w:before="147"/>
        <w:ind w:left="0"/>
        <w:jc w:val="both"/>
        <w:rPr>
          <w:color w:val="BF5A14"/>
        </w:rPr>
      </w:pPr>
      <w:r>
        <w:rPr>
          <w:color w:val="BF5A14"/>
        </w:rPr>
        <w:lastRenderedPageBreak/>
        <w:t>Abstract</w:t>
      </w:r>
    </w:p>
    <w:p w14:paraId="1AC439E9" w14:textId="77777777" w:rsidR="00F52CB7" w:rsidRPr="00F52CB7" w:rsidRDefault="00F52CB7" w:rsidP="00F52CB7">
      <w:pPr>
        <w:pStyle w:val="Heading3"/>
        <w:spacing w:before="147"/>
        <w:ind w:left="0"/>
        <w:jc w:val="both"/>
        <w:rPr>
          <w:color w:val="BF5A14"/>
        </w:rPr>
      </w:pPr>
      <w:bookmarkStart w:id="0" w:name="_GoBack"/>
      <w:bookmarkEnd w:id="0"/>
    </w:p>
    <w:p w14:paraId="04F87781" w14:textId="77777777" w:rsidR="006B2A23" w:rsidRPr="006B2A23" w:rsidRDefault="006B2A23" w:rsidP="006B2A23">
      <w:pPr>
        <w:shd w:val="clear" w:color="auto" w:fill="FFFFFF"/>
        <w:tabs>
          <w:tab w:val="left" w:pos="7560"/>
        </w:tabs>
        <w:spacing w:line="480" w:lineRule="auto"/>
        <w:rPr>
          <w:rFonts w:ascii="Times New Roman" w:eastAsia="Times New Roman" w:hAnsi="Times New Roman" w:cs="Arial"/>
          <w:b/>
          <w:color w:val="222222"/>
          <w:sz w:val="18"/>
          <w:szCs w:val="18"/>
        </w:rPr>
      </w:pPr>
      <w:r w:rsidRPr="006B2A23">
        <w:rPr>
          <w:rFonts w:ascii="Times New Roman" w:eastAsia="Times New Roman" w:hAnsi="Times New Roman" w:cs="Arial"/>
          <w:b/>
          <w:color w:val="222222"/>
          <w:sz w:val="18"/>
          <w:szCs w:val="18"/>
        </w:rPr>
        <w:t>The Intersectionality of Trauma and Grief: The Gifts of EMDR</w:t>
      </w:r>
    </w:p>
    <w:p w14:paraId="4B0D4609" w14:textId="77777777" w:rsidR="006B2A23" w:rsidRPr="006B2A23" w:rsidRDefault="006B2A23" w:rsidP="006B2A23">
      <w:pPr>
        <w:shd w:val="clear" w:color="auto" w:fill="FFFFFF"/>
        <w:tabs>
          <w:tab w:val="left" w:pos="7560"/>
        </w:tabs>
        <w:spacing w:line="480" w:lineRule="auto"/>
        <w:rPr>
          <w:rFonts w:ascii="Times New Roman" w:eastAsia="Times New Roman" w:hAnsi="Times New Roman" w:cs="Arial"/>
          <w:color w:val="222222"/>
          <w:sz w:val="16"/>
          <w:szCs w:val="16"/>
        </w:rPr>
      </w:pPr>
      <w:r w:rsidRPr="006B2A23">
        <w:rPr>
          <w:rFonts w:ascii="Times New Roman" w:eastAsia="Times New Roman" w:hAnsi="Times New Roman" w:cs="Arial"/>
          <w:color w:val="222222"/>
          <w:sz w:val="16"/>
          <w:szCs w:val="16"/>
        </w:rPr>
        <w:t>Research indicates complex trauma is an increasing public health concern and involves threats to personal safety; self-identity and connection to the wider community. Despite not meeting the full criteria for PTSD, this category of trauma appears to be the most debilitating and results in secondary complications that include interpersonal violence, drug use, depression, and anxiety (Courtois &amp; Ford, 2013; Park, Currier, Harris, &amp; Slattery, 2017). Further, some argue the DSM-5’s definition of trauma is too narrow and does not account for other debilitating events such as major losses, including life-limiting illness and grief that result in clinically significant symptoms (Briere, 2013). The impact of trauma on our living and our dying is undeniable. Losing a loved one to death is one of the most painful experiences of being human. Grief, considered the normal response to bereavement, is associated with potential long-term physical and psychological sequelae such as increased mortality, cardiac disease, depression, and substance use. Complicated grief has been linked to brain abnormalities that impact functioning of the limbic system, autobiographical memory, and cognitive processing</w:t>
      </w:r>
      <w:r w:rsidRPr="000A059E">
        <w:rPr>
          <w:rFonts w:ascii="Times New Roman" w:eastAsia="Times New Roman" w:hAnsi="Times New Roman" w:cs="Arial"/>
          <w:color w:val="222222"/>
          <w:szCs w:val="19"/>
        </w:rPr>
        <w:t xml:space="preserve"> </w:t>
      </w:r>
      <w:r w:rsidRPr="006B2A23">
        <w:rPr>
          <w:rFonts w:ascii="Times New Roman" w:eastAsia="Times New Roman" w:hAnsi="Times New Roman" w:cs="Arial"/>
          <w:color w:val="222222"/>
          <w:sz w:val="16"/>
          <w:szCs w:val="16"/>
        </w:rPr>
        <w:t xml:space="preserve">(Shear, 2015). Given these findings, therapies </w:t>
      </w:r>
      <w:r w:rsidRPr="006B2A23">
        <w:rPr>
          <w:rFonts w:ascii="Times New Roman" w:eastAsia="Times New Roman" w:hAnsi="Times New Roman" w:cs="Arial"/>
          <w:color w:val="222222"/>
          <w:sz w:val="16"/>
          <w:szCs w:val="16"/>
        </w:rPr>
        <w:lastRenderedPageBreak/>
        <w:t>that focus on cognitive restructuring may be ineffective in reducing distress. Eye Movement Desensitization and Reprocessing (EMDR), has been used extensively to treat individuals with PTSD (Van der Kolk, 2015). Emerging research suggests that EMDR is an effective intervention for complex trauma, grief, chronic pain, and substance use disorders (Abel &amp; O’Brien, 2013). The focus of the workshop is to present research on the intersectionality of trauma and grief and their impact on</w:t>
      </w:r>
      <w:r>
        <w:rPr>
          <w:rFonts w:ascii="Times New Roman" w:eastAsia="Times New Roman" w:hAnsi="Times New Roman" w:cs="Arial"/>
          <w:color w:val="222222"/>
          <w:szCs w:val="19"/>
        </w:rPr>
        <w:t xml:space="preserve"> </w:t>
      </w:r>
      <w:r w:rsidRPr="006B2A23">
        <w:rPr>
          <w:rFonts w:ascii="Times New Roman" w:eastAsia="Times New Roman" w:hAnsi="Times New Roman" w:cs="Arial"/>
          <w:color w:val="222222"/>
          <w:sz w:val="16"/>
          <w:szCs w:val="16"/>
        </w:rPr>
        <w:t>brain development and function; introduce EMDR and discuss implications for use with hospice patients, families and the bereaved. An experiential segment will guide participants through EMDR exercises fol</w:t>
      </w:r>
      <w:r>
        <w:rPr>
          <w:rFonts w:ascii="Times New Roman" w:eastAsia="Times New Roman" w:hAnsi="Times New Roman" w:cs="Arial"/>
          <w:color w:val="222222"/>
          <w:sz w:val="16"/>
          <w:szCs w:val="16"/>
        </w:rPr>
        <w:t>lowed by small group discussion.</w:t>
      </w:r>
    </w:p>
    <w:p w14:paraId="5744AD9F" w14:textId="77777777" w:rsidR="006B2A23" w:rsidRDefault="006B2A23" w:rsidP="005973B9">
      <w:pPr>
        <w:spacing w:line="204" w:lineRule="exact"/>
        <w:rPr>
          <w:rFonts w:ascii="Arial"/>
          <w:b/>
          <w:color w:val="BF5A14"/>
          <w:sz w:val="20"/>
        </w:rPr>
      </w:pPr>
    </w:p>
    <w:p w14:paraId="00C58B40" w14:textId="77777777" w:rsidR="005973B9" w:rsidRDefault="005973B9" w:rsidP="005973B9">
      <w:pPr>
        <w:spacing w:line="204" w:lineRule="exact"/>
        <w:rPr>
          <w:rFonts w:ascii="Arial"/>
          <w:b/>
          <w:sz w:val="20"/>
        </w:rPr>
      </w:pPr>
      <w:r>
        <w:rPr>
          <w:rFonts w:ascii="Arial"/>
          <w:b/>
          <w:color w:val="BF5A14"/>
          <w:sz w:val="20"/>
        </w:rPr>
        <w:t>Recent Publications (minimum 5)</w:t>
      </w:r>
    </w:p>
    <w:p w14:paraId="677D4049" w14:textId="3869FA97" w:rsidR="00AC559E" w:rsidRDefault="00AC559E" w:rsidP="006F0BA7">
      <w:pPr>
        <w:pStyle w:val="ListParagraph"/>
        <w:numPr>
          <w:ilvl w:val="0"/>
          <w:numId w:val="3"/>
        </w:numPr>
        <w:rPr>
          <w:rFonts w:ascii="Times New Roman" w:hAnsi="Times New Roman" w:cs="Times New Roman"/>
          <w:sz w:val="16"/>
          <w:szCs w:val="16"/>
        </w:rPr>
      </w:pPr>
      <w:r>
        <w:rPr>
          <w:rFonts w:ascii="Times New Roman" w:hAnsi="Times New Roman" w:cs="Times New Roman"/>
          <w:sz w:val="16"/>
          <w:szCs w:val="16"/>
        </w:rPr>
        <w:t xml:space="preserve">Abel, N., O’Brien, J. (2013). </w:t>
      </w:r>
      <w:r w:rsidRPr="00AC559E">
        <w:rPr>
          <w:rFonts w:ascii="Times New Roman" w:hAnsi="Times New Roman" w:cs="Times New Roman"/>
          <w:i/>
          <w:sz w:val="16"/>
          <w:szCs w:val="16"/>
        </w:rPr>
        <w:t xml:space="preserve">Treating addictions with EMDR therapy and the stages of change. </w:t>
      </w:r>
      <w:r>
        <w:rPr>
          <w:rFonts w:ascii="Times New Roman" w:hAnsi="Times New Roman" w:cs="Times New Roman"/>
          <w:sz w:val="16"/>
          <w:szCs w:val="16"/>
        </w:rPr>
        <w:t xml:space="preserve">Spring Publishing Company: New York. </w:t>
      </w:r>
    </w:p>
    <w:p w14:paraId="32B735F1" w14:textId="31EC3081" w:rsidR="006F0BA7" w:rsidRDefault="006F0BA7" w:rsidP="006F0BA7">
      <w:pPr>
        <w:pStyle w:val="ListParagraph"/>
        <w:numPr>
          <w:ilvl w:val="0"/>
          <w:numId w:val="3"/>
        </w:numPr>
        <w:rPr>
          <w:rFonts w:ascii="Times New Roman" w:hAnsi="Times New Roman" w:cs="Times New Roman"/>
          <w:sz w:val="16"/>
          <w:szCs w:val="16"/>
        </w:rPr>
      </w:pPr>
      <w:r w:rsidRPr="006F0BA7">
        <w:rPr>
          <w:rFonts w:ascii="Times New Roman" w:hAnsi="Times New Roman" w:cs="Times New Roman"/>
          <w:sz w:val="16"/>
          <w:szCs w:val="16"/>
        </w:rPr>
        <w:t xml:space="preserve">Courtois, C. A., &amp; Ford, J.D. (2013). </w:t>
      </w:r>
      <w:r w:rsidR="00AC559E">
        <w:rPr>
          <w:rFonts w:ascii="Times New Roman" w:hAnsi="Times New Roman" w:cs="Times New Roman"/>
          <w:i/>
          <w:sz w:val="16"/>
          <w:szCs w:val="16"/>
        </w:rPr>
        <w:t>Treatment of complex trauma: A sequenced, relationship-b</w:t>
      </w:r>
      <w:r w:rsidR="00AF3210">
        <w:rPr>
          <w:rFonts w:ascii="Times New Roman" w:hAnsi="Times New Roman" w:cs="Times New Roman"/>
          <w:i/>
          <w:sz w:val="16"/>
          <w:szCs w:val="16"/>
        </w:rPr>
        <w:t>ased a</w:t>
      </w:r>
      <w:r w:rsidRPr="006F0BA7">
        <w:rPr>
          <w:rFonts w:ascii="Times New Roman" w:hAnsi="Times New Roman" w:cs="Times New Roman"/>
          <w:i/>
          <w:sz w:val="16"/>
          <w:szCs w:val="16"/>
        </w:rPr>
        <w:t>pproach.</w:t>
      </w:r>
      <w:r w:rsidRPr="006F0BA7">
        <w:rPr>
          <w:rFonts w:ascii="Times New Roman" w:hAnsi="Times New Roman" w:cs="Times New Roman"/>
          <w:sz w:val="16"/>
          <w:szCs w:val="16"/>
        </w:rPr>
        <w:t xml:space="preserve"> New York, NY: Guilford.</w:t>
      </w:r>
    </w:p>
    <w:p w14:paraId="61640714" w14:textId="77777777" w:rsidR="005E1F18" w:rsidRPr="005E1F18" w:rsidRDefault="005E1F18" w:rsidP="005E1F18">
      <w:pPr>
        <w:ind w:left="99"/>
        <w:rPr>
          <w:rFonts w:ascii="Times New Roman" w:hAnsi="Times New Roman" w:cs="Times New Roman"/>
          <w:sz w:val="16"/>
          <w:szCs w:val="16"/>
        </w:rPr>
      </w:pPr>
    </w:p>
    <w:p w14:paraId="6AEDDEFB" w14:textId="0FFC6965" w:rsidR="00AF3210" w:rsidRPr="00AF3210" w:rsidRDefault="00AF3210" w:rsidP="00AF3210">
      <w:pPr>
        <w:pStyle w:val="BodyText"/>
        <w:numPr>
          <w:ilvl w:val="0"/>
          <w:numId w:val="3"/>
        </w:numPr>
        <w:tabs>
          <w:tab w:val="left" w:pos="720"/>
        </w:tabs>
        <w:rPr>
          <w:rFonts w:ascii="Times New Roman" w:hAnsi="Times New Roman" w:cs="Times New Roman"/>
          <w:sz w:val="16"/>
          <w:szCs w:val="16"/>
        </w:rPr>
      </w:pPr>
      <w:r w:rsidRPr="00AF3210">
        <w:rPr>
          <w:rFonts w:ascii="Times New Roman" w:hAnsi="Times New Roman" w:cs="Times New Roman"/>
          <w:sz w:val="16"/>
          <w:szCs w:val="16"/>
          <w:shd w:val="clear" w:color="auto" w:fill="FFFFFF"/>
        </w:rPr>
        <w:t xml:space="preserve">Park, C.L., Currier, J.M., Harris, J.I., &amp; Slattery, J. M. (2017). </w:t>
      </w:r>
      <w:r w:rsidR="005E1F18">
        <w:rPr>
          <w:rFonts w:ascii="Times New Roman" w:hAnsi="Times New Roman" w:cs="Times New Roman"/>
          <w:i/>
          <w:sz w:val="16"/>
          <w:szCs w:val="16"/>
          <w:shd w:val="clear" w:color="auto" w:fill="FFFFFF"/>
        </w:rPr>
        <w:t>Trauma, meaning, and spirituality: Translating research into clinical p</w:t>
      </w:r>
      <w:r w:rsidRPr="00AF3210">
        <w:rPr>
          <w:rFonts w:ascii="Times New Roman" w:hAnsi="Times New Roman" w:cs="Times New Roman"/>
          <w:i/>
          <w:sz w:val="16"/>
          <w:szCs w:val="16"/>
          <w:shd w:val="clear" w:color="auto" w:fill="FFFFFF"/>
        </w:rPr>
        <w:t>ractice.</w:t>
      </w:r>
      <w:r w:rsidRPr="00AF3210">
        <w:rPr>
          <w:rFonts w:ascii="Times New Roman" w:hAnsi="Times New Roman" w:cs="Times New Roman"/>
          <w:sz w:val="16"/>
          <w:szCs w:val="16"/>
          <w:shd w:val="clear" w:color="auto" w:fill="FFFFFF"/>
        </w:rPr>
        <w:t xml:space="preserve"> Washington, DC: American Psychological Association</w:t>
      </w:r>
      <w:r w:rsidR="005E1F18">
        <w:rPr>
          <w:rFonts w:ascii="Times New Roman" w:hAnsi="Times New Roman" w:cs="Times New Roman"/>
          <w:sz w:val="16"/>
          <w:szCs w:val="16"/>
          <w:shd w:val="clear" w:color="auto" w:fill="FFFFFF"/>
        </w:rPr>
        <w:t>.</w:t>
      </w:r>
    </w:p>
    <w:p w14:paraId="357BCB9A" w14:textId="27AEFC11" w:rsidR="005973B9" w:rsidRPr="00CE0A04" w:rsidRDefault="00CE0A04" w:rsidP="005973B9">
      <w:pPr>
        <w:pStyle w:val="ListParagraph"/>
        <w:numPr>
          <w:ilvl w:val="0"/>
          <w:numId w:val="3"/>
        </w:numPr>
        <w:tabs>
          <w:tab w:val="left" w:pos="384"/>
        </w:tabs>
        <w:spacing w:before="103" w:line="216" w:lineRule="exact"/>
        <w:ind w:right="138" w:hanging="283"/>
        <w:rPr>
          <w:rFonts w:ascii="Times New Roman" w:hAnsi="Times New Roman" w:cs="Times New Roman"/>
          <w:i/>
          <w:sz w:val="18"/>
        </w:rPr>
      </w:pPr>
      <w:r>
        <w:rPr>
          <w:rFonts w:ascii="Times New Roman" w:hAnsi="Times New Roman" w:cs="Times New Roman"/>
          <w:sz w:val="16"/>
          <w:szCs w:val="16"/>
        </w:rPr>
        <w:t xml:space="preserve">Shear, M.K. (2015). Complicated grief. </w:t>
      </w:r>
      <w:r w:rsidRPr="00CE0A04">
        <w:rPr>
          <w:rFonts w:ascii="Times New Roman" w:hAnsi="Times New Roman" w:cs="Times New Roman"/>
          <w:i/>
          <w:sz w:val="16"/>
          <w:szCs w:val="16"/>
        </w:rPr>
        <w:t>The New England Journal of Medicine</w:t>
      </w:r>
      <w:r>
        <w:rPr>
          <w:rFonts w:ascii="Times New Roman" w:hAnsi="Times New Roman" w:cs="Times New Roman"/>
          <w:i/>
          <w:sz w:val="16"/>
          <w:szCs w:val="16"/>
        </w:rPr>
        <w:t xml:space="preserve">, </w:t>
      </w:r>
      <w:r w:rsidR="00334A8F">
        <w:rPr>
          <w:rFonts w:ascii="Times New Roman" w:hAnsi="Times New Roman" w:cs="Times New Roman"/>
          <w:i/>
          <w:sz w:val="16"/>
          <w:szCs w:val="16"/>
        </w:rPr>
        <w:t xml:space="preserve">372, 153-160. </w:t>
      </w:r>
    </w:p>
    <w:p w14:paraId="2A1EC5E3" w14:textId="1E66289D" w:rsidR="005973B9" w:rsidRPr="00334A8F" w:rsidRDefault="00334A8F" w:rsidP="00334A8F">
      <w:pPr>
        <w:pStyle w:val="ListParagraph"/>
        <w:numPr>
          <w:ilvl w:val="0"/>
          <w:numId w:val="3"/>
        </w:numPr>
        <w:tabs>
          <w:tab w:val="left" w:pos="384"/>
        </w:tabs>
        <w:spacing w:line="216" w:lineRule="exact"/>
        <w:ind w:right="138" w:hanging="283"/>
        <w:rPr>
          <w:sz w:val="18"/>
        </w:rPr>
      </w:pPr>
      <w:r>
        <w:rPr>
          <w:rFonts w:ascii="Times New Roman" w:hAnsi="Times New Roman" w:cs="Times New Roman"/>
          <w:sz w:val="16"/>
          <w:szCs w:val="16"/>
        </w:rPr>
        <w:t xml:space="preserve">Van der Kolk, B. (2015). </w:t>
      </w:r>
      <w:r w:rsidRPr="00334A8F">
        <w:rPr>
          <w:rFonts w:ascii="Times New Roman" w:hAnsi="Times New Roman" w:cs="Times New Roman"/>
          <w:i/>
          <w:sz w:val="16"/>
          <w:szCs w:val="16"/>
        </w:rPr>
        <w:t xml:space="preserve">The body keeps the score: Brain, mind, and body in the healing of trauma. </w:t>
      </w:r>
      <w:r>
        <w:rPr>
          <w:rFonts w:ascii="Times New Roman" w:hAnsi="Times New Roman" w:cs="Times New Roman"/>
          <w:sz w:val="16"/>
          <w:szCs w:val="16"/>
        </w:rPr>
        <w:t xml:space="preserve">Viking: New York. </w:t>
      </w:r>
    </w:p>
    <w:p w14:paraId="799A56B9" w14:textId="77777777" w:rsidR="00AE3E37" w:rsidRPr="008756E6" w:rsidRDefault="00AE3E37" w:rsidP="008756E6">
      <w:pPr>
        <w:tabs>
          <w:tab w:val="left" w:pos="384"/>
        </w:tabs>
        <w:ind w:right="117"/>
      </w:pPr>
    </w:p>
    <w:p w14:paraId="30FDFF6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B3CDB22" w14:textId="77777777" w:rsidR="00AE3E37" w:rsidRDefault="00AE3E37">
      <w:pPr>
        <w:pStyle w:val="BodyText"/>
        <w:rPr>
          <w:rFonts w:ascii="Calibri"/>
          <w:sz w:val="20"/>
        </w:rPr>
      </w:pPr>
    </w:p>
    <w:p w14:paraId="08AF555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31CFFD4" wp14:editId="3A8F5B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96A7221" w14:textId="37533F0F" w:rsidR="00AE3E37" w:rsidRDefault="008756E6" w:rsidP="00404E5B">
      <w:pPr>
        <w:spacing w:before="92"/>
        <w:ind w:right="4234"/>
        <w:rPr>
          <w:rFonts w:ascii="Arial"/>
        </w:rPr>
      </w:pPr>
      <w:r>
        <w:rPr>
          <w:noProof/>
        </w:rPr>
        <w:t xml:space="preserve">  </w:t>
      </w:r>
      <w:r w:rsidR="00F52CB7" w:rsidRPr="00F52CB7">
        <w:rPr>
          <w:noProof/>
        </w:rPr>
        <w:drawing>
          <wp:inline distT="0" distB="0" distL="0" distR="0" wp14:anchorId="0FA6EB78" wp14:editId="11A421A1">
            <wp:extent cx="625806" cy="830476"/>
            <wp:effectExtent l="0" t="0" r="952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9075" cy="874626"/>
                    </a:xfrm>
                    <a:prstGeom prst="rect">
                      <a:avLst/>
                    </a:prstGeom>
                  </pic:spPr>
                </pic:pic>
              </a:graphicData>
            </a:graphic>
          </wp:inline>
        </w:drawing>
      </w:r>
      <w:r>
        <w:rPr>
          <w:noProof/>
        </w:rPr>
        <w:t xml:space="preserve">            </w:t>
      </w:r>
      <w:r w:rsidR="00A9710C">
        <w:rPr>
          <w:rFonts w:ascii="Arial"/>
          <w:color w:val="BF5A14"/>
        </w:rPr>
        <w:t>Biography</w:t>
      </w:r>
    </w:p>
    <w:p w14:paraId="5B49E39D" w14:textId="2E00F71D" w:rsidR="009B0B7D" w:rsidRPr="009B0B7D" w:rsidRDefault="009B0B7D" w:rsidP="009B0B7D">
      <w:pPr>
        <w:rPr>
          <w:rFonts w:ascii="Times New Roman" w:eastAsia="Times New Roman" w:hAnsi="Times New Roman" w:cs="Times New Roman"/>
          <w:sz w:val="16"/>
          <w:szCs w:val="16"/>
        </w:rPr>
      </w:pPr>
      <w:r w:rsidRPr="009B0B7D">
        <w:rPr>
          <w:rFonts w:ascii="Times New Roman" w:eastAsia="Times New Roman" w:hAnsi="Times New Roman" w:cs="Times New Roman"/>
          <w:sz w:val="16"/>
          <w:szCs w:val="16"/>
        </w:rPr>
        <w:t>Dr. Kennedy is currently an assistant professor in the Community and Trauma Counseling Program at Philadelphia University. She has served in many capacities as an administrator, clinical therapist and supervisor, and hospice chaplain. She has served as Director of the Life Center at Hospice of the Chesapeake, which provides support services and programs for hospice patients and families, and bereavement and trauma counseling to adults, teens and children. Dr. Kennedy began her career as a case manager in the HIV/AIDS epidemic. She holds a Bachelor’s and a Master’s degree from the University of Iowa, a Master of Divinity from Harvard University, and a Ph.D. from Loyola University Maryland. She is a Licensed Professional Counselor (LPC) in Pennsylvania, and an ordained minister in the United Church of Christ denomination. Her specialty areas include grief and bereavement, life-limiting illness, trauma, spiritual alienation, gender identity, sexual orientation, and s</w:t>
      </w:r>
      <w:r>
        <w:rPr>
          <w:rFonts w:ascii="Times New Roman" w:eastAsia="Times New Roman" w:hAnsi="Times New Roman" w:cs="Times New Roman"/>
          <w:sz w:val="16"/>
          <w:szCs w:val="16"/>
        </w:rPr>
        <w:t>upport to the LGBTQ+ community.</w:t>
      </w:r>
    </w:p>
    <w:p w14:paraId="13A92F50" w14:textId="1ECA8B83" w:rsidR="00AE3E37" w:rsidRDefault="00A9710C">
      <w:pPr>
        <w:spacing w:before="41" w:line="154" w:lineRule="exact"/>
        <w:ind w:left="213" w:right="231"/>
        <w:jc w:val="both"/>
        <w:rPr>
          <w:rFonts w:ascii="Arial"/>
          <w:sz w:val="14"/>
        </w:rPr>
      </w:pPr>
      <w:r>
        <w:rPr>
          <w:rFonts w:ascii="Arial"/>
          <w:sz w:val="14"/>
        </w:rPr>
        <w:t>.</w:t>
      </w:r>
    </w:p>
    <w:p w14:paraId="5C88C2F0" w14:textId="215710DA" w:rsidR="00AE3E37" w:rsidRDefault="00A9710C">
      <w:pPr>
        <w:spacing w:before="62"/>
        <w:ind w:left="4217" w:right="4235"/>
        <w:jc w:val="center"/>
        <w:rPr>
          <w:rFonts w:ascii="Arial"/>
          <w:sz w:val="14"/>
        </w:rPr>
      </w:pPr>
      <w:r>
        <w:rPr>
          <w:rFonts w:ascii="Arial"/>
          <w:sz w:val="14"/>
        </w:rPr>
        <w:t xml:space="preserve">Email: </w:t>
      </w:r>
      <w:r w:rsidR="00334A8F">
        <w:rPr>
          <w:rFonts w:ascii="Arial"/>
          <w:sz w:val="14"/>
        </w:rPr>
        <w:t>kennedyc@philau.edu</w:t>
      </w:r>
    </w:p>
    <w:p w14:paraId="05AB57D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C88A566" wp14:editId="113E01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955A71A" w14:textId="77777777" w:rsidR="00AE3E37" w:rsidRDefault="00AE3E37">
      <w:pPr>
        <w:pStyle w:val="BodyText"/>
        <w:rPr>
          <w:rFonts w:ascii="Arial"/>
          <w:sz w:val="20"/>
        </w:rPr>
      </w:pPr>
    </w:p>
    <w:p w14:paraId="05F85BAD" w14:textId="77777777" w:rsidR="00AE3E37" w:rsidRDefault="00AE3E37">
      <w:pPr>
        <w:pStyle w:val="BodyText"/>
        <w:rPr>
          <w:rFonts w:ascii="Arial"/>
          <w:sz w:val="20"/>
        </w:rPr>
      </w:pPr>
    </w:p>
    <w:p w14:paraId="23E1BD69" w14:textId="77777777" w:rsidR="00AE3E37" w:rsidRDefault="00AE3E37">
      <w:pPr>
        <w:pStyle w:val="BodyText"/>
        <w:spacing w:before="7"/>
        <w:rPr>
          <w:rFonts w:ascii="Arial"/>
          <w:sz w:val="29"/>
        </w:rPr>
      </w:pPr>
    </w:p>
    <w:p w14:paraId="262C3C83" w14:textId="77777777" w:rsidR="00AE3E37" w:rsidRPr="00B21A57" w:rsidRDefault="00A9710C">
      <w:pPr>
        <w:spacing w:before="39"/>
        <w:ind w:left="100"/>
        <w:rPr>
          <w:rFonts w:ascii="Minion Pro"/>
          <w:b/>
          <w:sz w:val="20"/>
        </w:rPr>
      </w:pPr>
      <w:r w:rsidRPr="00B21A57">
        <w:rPr>
          <w:rFonts w:ascii="Minion Pro"/>
          <w:b/>
          <w:sz w:val="20"/>
        </w:rPr>
        <w:t>Notes/Comments:</w:t>
      </w:r>
    </w:p>
    <w:p w14:paraId="0A1A3F7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02665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137E8" w14:textId="77777777" w:rsidR="005D11AC" w:rsidRDefault="005D11AC">
      <w:r>
        <w:separator/>
      </w:r>
    </w:p>
  </w:endnote>
  <w:endnote w:type="continuationSeparator" w:id="0">
    <w:p w14:paraId="54595486" w14:textId="77777777" w:rsidR="005D11AC" w:rsidRDefault="005D1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E183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E60AFC6" wp14:editId="7E4409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F28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368D2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0AFC6"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717F28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368D2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33B08FA" wp14:editId="5AD4206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CD3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833B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B08F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FECD3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833B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6EB26F9" wp14:editId="5642C9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2BD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BAE3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B26F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FD2BD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BAE3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AC72F" w14:textId="77777777" w:rsidR="005D11AC" w:rsidRDefault="005D11AC">
      <w:r>
        <w:separator/>
      </w:r>
    </w:p>
  </w:footnote>
  <w:footnote w:type="continuationSeparator" w:id="0">
    <w:p w14:paraId="1931E1F8" w14:textId="77777777" w:rsidR="005D11AC" w:rsidRDefault="005D11A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1812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4595F88" wp14:editId="03B2C00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BDD3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95F88"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B4BDD3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B7E4574" wp14:editId="363B5CB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1D7C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1FAE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E457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17E1D7C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1FAEB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D51ADCCE"/>
    <w:lvl w:ilvl="0" w:tplc="78C8F138">
      <w:start w:val="1"/>
      <w:numFmt w:val="decimal"/>
      <w:lvlText w:val="%1."/>
      <w:lvlJc w:val="left"/>
      <w:pPr>
        <w:ind w:left="383" w:hanging="284"/>
      </w:pPr>
      <w:rPr>
        <w:rFonts w:ascii="Calibri" w:eastAsia="Calibri" w:hAnsi="Calibri" w:cs="Calibri" w:hint="default"/>
        <w:spacing w:val="-16"/>
        <w:w w:val="100"/>
        <w:sz w:val="16"/>
        <w:szCs w:val="16"/>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95E"/>
    <w:rsid w:val="000E2911"/>
    <w:rsid w:val="001263DF"/>
    <w:rsid w:val="00161D7F"/>
    <w:rsid w:val="00292ED9"/>
    <w:rsid w:val="00334A8F"/>
    <w:rsid w:val="00404E5B"/>
    <w:rsid w:val="00414F7B"/>
    <w:rsid w:val="004355DC"/>
    <w:rsid w:val="004749B4"/>
    <w:rsid w:val="00494130"/>
    <w:rsid w:val="004F3523"/>
    <w:rsid w:val="005973B9"/>
    <w:rsid w:val="005B3A56"/>
    <w:rsid w:val="005D11AC"/>
    <w:rsid w:val="005E1F18"/>
    <w:rsid w:val="006060CE"/>
    <w:rsid w:val="0063497F"/>
    <w:rsid w:val="006B2A23"/>
    <w:rsid w:val="006B52A2"/>
    <w:rsid w:val="006F0BA7"/>
    <w:rsid w:val="00873DF0"/>
    <w:rsid w:val="008756E6"/>
    <w:rsid w:val="009634C7"/>
    <w:rsid w:val="009B0B7D"/>
    <w:rsid w:val="009B2D44"/>
    <w:rsid w:val="00A07E82"/>
    <w:rsid w:val="00A9710C"/>
    <w:rsid w:val="00AC559E"/>
    <w:rsid w:val="00AE3E37"/>
    <w:rsid w:val="00AF3210"/>
    <w:rsid w:val="00B21A57"/>
    <w:rsid w:val="00B519B6"/>
    <w:rsid w:val="00C33602"/>
    <w:rsid w:val="00CD6F55"/>
    <w:rsid w:val="00CE0A04"/>
    <w:rsid w:val="00DE3104"/>
    <w:rsid w:val="00EF19BA"/>
    <w:rsid w:val="00EF6347"/>
    <w:rsid w:val="00F52CB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534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334A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599</Words>
  <Characters>3436</Characters>
  <Application>Microsoft Macintosh Word</Application>
  <DocSecurity>0</DocSecurity>
  <Lines>56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Kennedy, Christine</cp:lastModifiedBy>
  <cp:revision>2</cp:revision>
  <dcterms:created xsi:type="dcterms:W3CDTF">2017-06-10T01:32:00Z</dcterms:created>
  <dcterms:modified xsi:type="dcterms:W3CDTF">2017-06-10T01:32:00Z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