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media/image1.jpeg" ContentType="image/jpeg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eading"/>
        <w:spacing w:before="170"/>
        <w:ind w:left="0" w:firstLine="0"/>
        <w:rPr>
          <w:color w:val="337ab7"/>
          <w:u w:color="337ab7"/>
          <w:rtl w:val="0"/>
        </w:rPr>
      </w:pPr>
      <w:r>
        <w:rPr>
          <w:rFonts w:ascii="Times"/>
          <w:rtl w:val="0"/>
          <w:lang w:val="en-US"/>
        </w:rPr>
        <w:t>Case Study: Persistent neuropathic pain in a 52 year old male with Acute Promyelocytic Leukemia (APL) treated with Arsenic Trioxide (ATO)</w:t>
      </w:r>
    </w:p>
    <w:p>
      <w:pPr>
        <w:pStyle w:val="Body Text"/>
        <w:spacing w:before="73" w:line="198" w:lineRule="exact"/>
        <w:ind w:left="100" w:right="5987" w:firstLine="0"/>
        <w:rPr>
          <w:rFonts w:ascii="Arial" w:cs="Arial" w:hAnsi="Arial" w:eastAsia="Arial"/>
          <w:sz w:val="20"/>
          <w:szCs w:val="20"/>
        </w:rPr>
      </w:pPr>
      <w:r>
        <w:rPr>
          <w:rFonts w:ascii="Arial"/>
          <w:rtl w:val="0"/>
          <w:lang w:val="en-US"/>
        </w:rPr>
        <w:t>Betty Chernack, MD, Cooper University Hospital, USA</w:t>
      </w:r>
    </w:p>
    <w:p>
      <w:pPr>
        <w:pStyle w:val="Body Text"/>
        <w:spacing w:before="3"/>
        <w:rPr>
          <w:rFonts w:ascii="Arial" w:cs="Arial" w:hAnsi="Arial" w:eastAsia="Arial"/>
          <w:sz w:val="21"/>
          <w:szCs w:val="21"/>
        </w:rPr>
      </w:pPr>
    </w:p>
    <w:p>
      <w:pPr>
        <w:pStyle w:val="Body"/>
        <w:sectPr>
          <w:headerReference w:type="default" r:id="rId4"/>
          <w:footerReference w:type="default" r:id="rId5"/>
          <w:pgSz w:w="11920" w:h="16840" w:orient="portrait"/>
          <w:pgMar w:top="1740" w:right="600" w:bottom="840" w:left="620" w:header="541" w:footer="642"/>
          <w:bidi w:val="0"/>
        </w:sectPr>
      </w:pPr>
    </w:p>
    <w:p>
      <w:pPr>
        <w:pStyle w:val="Heading 3"/>
        <w:spacing w:before="147"/>
        <w:jc w:val="both"/>
        <w:rPr>
          <w:color w:val="bf5a14"/>
          <w:u w:color="bf5a14"/>
          <w:rtl w:val="0"/>
        </w:rPr>
      </w:pPr>
      <w:r>
        <w:rPr>
          <w:color w:val="bf5a14"/>
          <w:u w:color="bf5a14"/>
          <w:rtl w:val="0"/>
          <w:lang w:val="en-US"/>
        </w:rPr>
        <w:t xml:space="preserve">Abstract </w:t>
      </w:r>
    </w:p>
    <w:p>
      <w:pPr>
        <w:pStyle w:val="Body Text"/>
        <w:spacing w:before="90" w:line="280" w:lineRule="auto"/>
        <w:ind w:left="100" w:firstLine="0"/>
        <w:jc w:val="both"/>
        <w:rPr>
          <w:rtl w:val="0"/>
        </w:rPr>
      </w:pPr>
      <w:r>
        <w:rPr>
          <w:rtl w:val="0"/>
          <w:lang w:val="en-US"/>
        </w:rPr>
        <w:t>Statement of the Problem:</w:t>
      </w:r>
      <w:r>
        <w:rPr>
          <w:rtl w:val="0"/>
          <w:lang w:val="en-US"/>
        </w:rPr>
        <w:t xml:space="preserve"> Th</w:t>
      </w:r>
      <w:r>
        <w:rPr>
          <w:rtl w:val="0"/>
          <w:lang w:val="en-US"/>
        </w:rPr>
        <w:t xml:space="preserve">e use of arsenic trioxide (ATO) to treat Acute Promyelocytic Leukemia </w:t>
      </w:r>
      <w:r>
        <w:rPr>
          <w:rtl w:val="0"/>
          <w:lang w:val="en-US"/>
        </w:rPr>
        <w:t xml:space="preserve">(APL) has improved </w:t>
      </w:r>
      <w:r>
        <w:rPr>
          <w:rtl w:val="0"/>
          <w:lang w:val="en-US"/>
        </w:rPr>
        <w:t>five-year event-free, disease-free, and overall survival rates.</w:t>
      </w:r>
      <w:r>
        <w:rPr>
          <w:rtl w:val="0"/>
          <w:lang w:val="en-US"/>
        </w:rPr>
        <w:t xml:space="preserve"> P</w:t>
      </w:r>
      <w:r>
        <w:rPr>
          <w:rtl w:val="0"/>
          <w:lang w:val="en-US"/>
        </w:rPr>
        <w:t>eripheral neuropathy is a common complication of arsenic trioxide therapy</w:t>
      </w:r>
      <w:r>
        <w:rPr>
          <w:rtl w:val="0"/>
          <w:lang w:val="en-US"/>
        </w:rPr>
        <w:t>, however, s</w:t>
      </w:r>
      <w:r>
        <w:rPr>
          <w:rtl w:val="0"/>
          <w:lang w:val="en-US"/>
        </w:rPr>
        <w:t xml:space="preserve">ide effects are usually mild and reversible following discontinuation of treatment. </w:t>
      </w:r>
      <w:r>
        <w:rPr>
          <w:rtl w:val="0"/>
          <w:lang w:val="en-US"/>
        </w:rPr>
        <w:t xml:space="preserve"> In contrast, the authors present a case of a 52 year old male with APL treated with ATO which was complicated by persistent debilitating whole body neuropathic pain. </w:t>
      </w:r>
    </w:p>
    <w:p>
      <w:pPr>
        <w:pStyle w:val="Body Text"/>
        <w:spacing w:before="90" w:line="280" w:lineRule="auto"/>
        <w:ind w:left="100" w:firstLine="0"/>
        <w:jc w:val="both"/>
        <w:rPr>
          <w:rtl w:val="0"/>
        </w:rPr>
      </w:pPr>
      <w:r>
        <w:rPr>
          <w:rtl w:val="0"/>
          <w:lang w:val="en-US"/>
        </w:rPr>
        <w:t>Methodology: A</w:t>
      </w:r>
      <w:r>
        <w:rPr>
          <w:rtl w:val="0"/>
          <w:lang w:val="en-US"/>
        </w:rPr>
        <w:t xml:space="preserve"> case report based on direct patient care, electronic medical record, and review of the pertinent literature using PubMed.</w:t>
      </w:r>
    </w:p>
    <w:p>
      <w:pPr>
        <w:pStyle w:val="Body Text"/>
        <w:spacing w:before="90" w:line="280" w:lineRule="auto"/>
        <w:ind w:left="100" w:firstLine="0"/>
        <w:jc w:val="both"/>
        <w:rPr>
          <w:rtl w:val="0"/>
        </w:rPr>
      </w:pPr>
      <w:r>
        <w:rPr>
          <w:rtl w:val="0"/>
          <w:lang w:val="en-US"/>
        </w:rPr>
        <w:t xml:space="preserve">Findings: 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The author first met the patient 5 months after completion of ATO, when he presented to </w:t>
      </w:r>
      <w:r>
        <w:rPr>
          <w:rtl w:val="0"/>
          <w:lang w:val="en-US"/>
        </w:rPr>
        <w:t>the</w:t>
      </w:r>
      <w:r>
        <w:rPr>
          <w:rtl w:val="0"/>
          <w:lang w:val="en-US"/>
        </w:rPr>
        <w:t xml:space="preserve"> outpatient Palliative Care Clinic with a chief complaint of </w:t>
      </w:r>
      <w:r>
        <w:rPr>
          <w:rFonts w:hAnsi="Tw Cen MT" w:hint="default"/>
          <w:rtl w:val="0"/>
          <w:lang w:val="en-US"/>
        </w:rPr>
        <w:t>“</w:t>
      </w:r>
      <w:r>
        <w:rPr>
          <w:rtl w:val="0"/>
          <w:lang w:val="en-US"/>
        </w:rPr>
        <w:t>whole body nerve pain.</w:t>
      </w:r>
      <w:r>
        <w:rPr>
          <w:rFonts w:hAnsi="Tw Cen MT" w:hint="default"/>
          <w:rtl w:val="0"/>
          <w:lang w:val="en-US"/>
        </w:rPr>
        <w:t xml:space="preserve">” </w:t>
      </w:r>
      <w:r>
        <w:rPr>
          <w:rtl w:val="0"/>
          <w:lang w:val="en-US"/>
        </w:rPr>
        <w:t>Onset of pain was over one year prior at the time of induction therapy with arsenic and was described as burning, stabbing, shooting electrical pain.  Symptoms affect</w:t>
      </w:r>
      <w:r>
        <w:rPr>
          <w:rtl w:val="0"/>
          <w:lang w:val="en-US"/>
        </w:rPr>
        <w:t>ed</w:t>
      </w:r>
      <w:r>
        <w:rPr>
          <w:rtl w:val="0"/>
          <w:lang w:val="en-US"/>
        </w:rPr>
        <w:t xml:space="preserve"> multiple areas including arms, legs, toes, face and even ears. The patient wa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 xml:space="preserve"> started on methadone 5 mg BID and tapered up to 10 mg BID. At the one month follow-up visit since initiating the methadone, </w:t>
      </w:r>
      <w:r>
        <w:rPr>
          <w:rtl w:val="0"/>
          <w:lang w:val="en-US"/>
        </w:rPr>
        <w:t>the patient</w:t>
      </w:r>
      <w:r>
        <w:rPr>
          <w:rtl w:val="0"/>
          <w:lang w:val="en-US"/>
        </w:rPr>
        <w:t xml:space="preserve"> reported significantly reduced severity and duration of whole body nerve pain, from 9 out of 10 on a visual analog scale to 2-5 out of 10. After 4 months since starting Methadone, the patient continued to report adequate analgesia without significant side effects</w:t>
      </w:r>
      <w:r>
        <w:rPr>
          <w:rtl w:val="0"/>
          <w:lang w:val="en-US"/>
        </w:rPr>
        <w:t>.</w:t>
      </w:r>
      <w:r>
        <w:rPr>
          <w:rtl w:val="0"/>
          <w:lang w:val="en-US"/>
        </w:rPr>
        <w:t xml:space="preserve"> To the best of the author</w:t>
      </w:r>
      <w:r>
        <w:rPr>
          <w:rFonts w:hAnsi="Tw Cen MT" w:hint="default"/>
          <w:rtl w:val="0"/>
          <w:lang w:val="en-US"/>
        </w:rPr>
        <w:t>’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 xml:space="preserve"> knowledge, </w:t>
      </w:r>
      <w:r>
        <w:rPr>
          <w:rtl w:val="0"/>
          <w:lang w:val="en-US"/>
        </w:rPr>
        <w:t xml:space="preserve">there has been </w:t>
      </w:r>
      <w:r>
        <w:rPr>
          <w:rtl w:val="0"/>
          <w:lang w:val="en-US"/>
        </w:rPr>
        <w:t xml:space="preserve">only one </w:t>
      </w:r>
      <w:r>
        <w:rPr>
          <w:rtl w:val="0"/>
          <w:lang w:val="en-US"/>
        </w:rPr>
        <w:t>other</w:t>
      </w:r>
      <w:r>
        <w:rPr>
          <w:rtl w:val="0"/>
          <w:lang w:val="en-US"/>
        </w:rPr>
        <w:t xml:space="preserve"> case report </w:t>
      </w:r>
      <w:r>
        <w:rPr>
          <w:rtl w:val="0"/>
          <w:lang w:val="en-US"/>
        </w:rPr>
        <w:t xml:space="preserve">that describes </w:t>
      </w:r>
      <w:r>
        <w:rPr>
          <w:rtl w:val="0"/>
          <w:lang w:val="en-US"/>
        </w:rPr>
        <w:t>severe persistent peripheral neuropathy following arsenic trioxide treatment of APL</w:t>
      </w:r>
      <w:r>
        <w:rPr>
          <w:rtl w:val="0"/>
          <w:lang w:val="en-US"/>
        </w:rPr>
        <w:t>.</w:t>
      </w:r>
    </w:p>
    <w:p>
      <w:pPr>
        <w:pStyle w:val="Body Text"/>
        <w:spacing w:before="90" w:line="280" w:lineRule="auto"/>
        <w:ind w:left="100" w:firstLine="0"/>
        <w:jc w:val="both"/>
      </w:pPr>
      <w:r>
        <w:rPr>
          <w:rtl w:val="0"/>
          <w:lang w:val="en-US"/>
        </w:rPr>
        <w:t>Conclusion &amp; Significance: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Generally the neuropathy caused by ATO treatment in patients with APL is mild and reversible. In this case, however, </w:t>
      </w:r>
      <w:r>
        <w:rPr>
          <w:rtl w:val="0"/>
          <w:lang w:val="en-US"/>
        </w:rPr>
        <w:t>the</w:t>
      </w:r>
      <w:r>
        <w:rPr>
          <w:rtl w:val="0"/>
          <w:lang w:val="en-US"/>
        </w:rPr>
        <w:t xml:space="preserve"> patient</w:t>
      </w:r>
      <w:r>
        <w:rPr>
          <w:rFonts w:hAnsi="Tw Cen MT" w:hint="default"/>
          <w:rtl w:val="0"/>
          <w:lang w:val="en-US"/>
        </w:rPr>
        <w:t>’</w:t>
      </w:r>
      <w:r>
        <w:rPr>
          <w:rtl w:val="0"/>
          <w:lang w:val="en-US"/>
        </w:rPr>
        <w:t xml:space="preserve">s neuropathic symptoms have been severe, persistent and refractory to multiple therapeutic strategies.  After trial and error, the </w:t>
      </w:r>
      <w:r>
        <w:rPr>
          <w:rtl w:val="0"/>
          <w:lang w:val="en-US"/>
        </w:rPr>
        <w:t>patient was able to</w:t>
      </w:r>
      <w:r>
        <w:rPr>
          <w:rtl w:val="0"/>
          <w:lang w:val="en-US"/>
        </w:rPr>
        <w:t xml:space="preserve"> obtain adequate relief of symptoms with the addition of low dose Methadone to Duloxetine and Gabapentin. This case illustrates a potential debilitating complication of ATO therapy for APL.  From this example, the author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recommend</w:t>
      </w:r>
      <w:r>
        <w:rPr>
          <w:rtl w:val="0"/>
          <w:lang w:val="en-US"/>
        </w:rPr>
        <w:t>s</w:t>
      </w:r>
      <w:r>
        <w:rPr>
          <w:rtl w:val="0"/>
          <w:lang w:val="en-US"/>
        </w:rPr>
        <w:t xml:space="preserve"> a trial of 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ethadone in patients with suspected arsenic toxicity.</w:t>
      </w:r>
      <w:r>
        <w:rPr>
          <w:rFonts w:ascii="Arial" w:cs="Arial" w:hAnsi="Arial" w:eastAsia="Arial"/>
          <w:rtl w:val="0"/>
        </w:rPr>
        <w:br w:type="column"/>
      </w:r>
    </w:p>
    <w:p>
      <w:pPr>
        <w:pStyle w:val="Heading 3"/>
        <w:spacing w:before="74"/>
        <w:rPr>
          <w:color w:val="bf5a14"/>
          <w:u w:color="bf5a14"/>
          <w:rtl w:val="0"/>
        </w:rPr>
      </w:pPr>
    </w:p>
    <w:p>
      <w:pPr>
        <w:pStyle w:val="Body Text"/>
        <w:spacing w:before="2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Body"/>
        <w:spacing w:line="204" w:lineRule="exact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color w:val="bf5a14"/>
          <w:sz w:val="20"/>
          <w:szCs w:val="20"/>
          <w:u w:color="bf5a14"/>
          <w:rtl w:val="0"/>
        </w:rPr>
        <w:br w:type="textWrapping"/>
      </w:r>
      <w:r>
        <w:rPr>
          <w:rFonts w:ascii="Arial"/>
          <w:b w:val="1"/>
          <w:bCs w:val="1"/>
          <w:color w:val="bf5a14"/>
          <w:sz w:val="20"/>
          <w:szCs w:val="20"/>
          <w:u w:color="bf5a14"/>
          <w:rtl w:val="0"/>
          <w:lang w:val="fr-FR"/>
        </w:rPr>
        <w:t>Recent Publications</w:t>
      </w:r>
    </w:p>
    <w:p>
      <w:pPr>
        <w:pStyle w:val="List Paragraph"/>
        <w:numPr>
          <w:ilvl w:val="0"/>
          <w:numId w:val="3"/>
        </w:numPr>
        <w:tabs>
          <w:tab w:val="num" w:pos="446"/>
          <w:tab w:val="clear" w:pos="0"/>
        </w:tabs>
        <w:spacing w:before="103" w:line="216" w:lineRule="exact"/>
        <w:ind w:left="446" w:right="138" w:hanging="346"/>
        <w:rPr>
          <w:position w:val="0"/>
          <w:sz w:val="16"/>
          <w:szCs w:val="16"/>
        </w:rPr>
      </w:pPr>
      <w:hyperlink r:id="rId6" w:history="1">
        <w:r>
          <w:rPr>
            <w:rStyle w:val="Hyperlink.1"/>
            <w:rFonts w:ascii="Trebuchet MS" w:hAnsi="Trebuchet MS" w:hint="default"/>
            <w:color w:val="000000"/>
            <w:sz w:val="16"/>
            <w:szCs w:val="16"/>
            <w:u w:val="none"/>
            <w:rtl w:val="0"/>
            <w:lang w:val="en-US"/>
          </w:rPr>
          <w:t>Kühn M</w:t>
        </w:r>
      </w:hyperlink>
      <w:r>
        <w:rPr>
          <w:rFonts w:ascii="Trebuchet MS"/>
          <w:sz w:val="16"/>
          <w:szCs w:val="16"/>
          <w:rtl w:val="0"/>
          <w:lang w:val="en-US"/>
        </w:rPr>
        <w:t>,</w:t>
      </w:r>
      <w:r>
        <w:rPr>
          <w:rFonts w:ascii="Trebuchet MS"/>
          <w:sz w:val="16"/>
          <w:szCs w:val="16"/>
          <w:rtl w:val="0"/>
          <w:lang w:val="en-US"/>
        </w:rPr>
        <w:t xml:space="preserve"> </w:t>
      </w:r>
      <w:hyperlink r:id="rId7" w:history="1">
        <w:r>
          <w:rPr>
            <w:rStyle w:val="Hyperlink.1"/>
            <w:rFonts w:ascii="Trebuchet MS"/>
            <w:color w:val="000000"/>
            <w:sz w:val="16"/>
            <w:szCs w:val="16"/>
            <w:u w:val="none"/>
            <w:rtl w:val="0"/>
            <w:lang w:val="en-US"/>
          </w:rPr>
          <w:t>Sammartin K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8" w:history="1">
        <w:r>
          <w:rPr>
            <w:rStyle w:val="Hyperlink.1"/>
            <w:rFonts w:ascii="Trebuchet MS"/>
            <w:color w:val="000000"/>
            <w:sz w:val="16"/>
            <w:szCs w:val="16"/>
            <w:u w:val="none"/>
            <w:rtl w:val="0"/>
            <w:lang w:val="en-US"/>
          </w:rPr>
          <w:t>Nabergoj M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9" w:history="1">
        <w:r>
          <w:rPr>
            <w:rStyle w:val="Hyperlink.1"/>
            <w:rFonts w:ascii="Trebuchet MS"/>
            <w:color w:val="000000"/>
            <w:sz w:val="16"/>
            <w:szCs w:val="16"/>
            <w:u w:val="none"/>
            <w:rtl w:val="0"/>
            <w:lang w:val="en-US"/>
          </w:rPr>
          <w:t>Vianello F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 (2016) </w:t>
      </w:r>
      <w:r>
        <w:rPr>
          <w:rFonts w:ascii="Trebuchet MS"/>
          <w:sz w:val="16"/>
          <w:szCs w:val="16"/>
          <w:rtl w:val="0"/>
          <w:lang w:val="en-US"/>
        </w:rPr>
        <w:t xml:space="preserve">Severe Acute Axonal Neuropathy following Treatment with Arsenic Trioxide for Acute Promyelocytic Leukemia: a Case Report. </w:t>
      </w:r>
      <w:r>
        <w:rPr>
          <w:rFonts w:ascii="Trebuchet MS"/>
          <w:i w:val="1"/>
          <w:iCs w:val="1"/>
          <w:sz w:val="16"/>
          <w:szCs w:val="16"/>
          <w:rtl w:val="0"/>
          <w:lang w:val="en-US"/>
        </w:rPr>
        <w:t>Mediterr J Hematol Infect Dis.</w:t>
      </w:r>
      <w:r>
        <w:rPr>
          <w:rFonts w:ascii="Trebuchet MS"/>
          <w:sz w:val="16"/>
          <w:szCs w:val="16"/>
          <w:rtl w:val="0"/>
          <w:lang w:val="en-US"/>
        </w:rPr>
        <w:t xml:space="preserve"> Apr 1;8(1)</w:t>
      </w:r>
    </w:p>
    <w:p>
      <w:pPr>
        <w:pStyle w:val="List Paragraph"/>
        <w:numPr>
          <w:ilvl w:val="0"/>
          <w:numId w:val="5"/>
        </w:numPr>
        <w:spacing w:before="103" w:line="216" w:lineRule="exact"/>
        <w:ind w:left="446" w:right="138" w:hanging="346"/>
        <w:rPr>
          <w:position w:val="0"/>
          <w:sz w:val="16"/>
          <w:szCs w:val="16"/>
        </w:rPr>
      </w:pPr>
      <w:r>
        <w:rPr>
          <w:rFonts w:ascii="Trebuchet MS"/>
          <w:sz w:val="16"/>
          <w:szCs w:val="16"/>
          <w:rtl w:val="0"/>
          <w:lang w:val="en-US"/>
        </w:rPr>
        <w:t xml:space="preserve">Shen Z-X, Chen G-Q, Ni J-H et al. </w:t>
      </w:r>
      <w:r>
        <w:rPr>
          <w:rFonts w:ascii="Trebuchet MS"/>
          <w:sz w:val="16"/>
          <w:szCs w:val="16"/>
          <w:rtl w:val="0"/>
          <w:lang w:val="en-US"/>
        </w:rPr>
        <w:t xml:space="preserve">(1997) </w:t>
      </w:r>
      <w:r>
        <w:rPr>
          <w:rFonts w:ascii="Trebuchet MS"/>
          <w:sz w:val="16"/>
          <w:szCs w:val="16"/>
          <w:rtl w:val="0"/>
          <w:lang w:val="en-US"/>
        </w:rPr>
        <w:t>Use of arsenic trioxide (As</w:t>
      </w:r>
      <w:r>
        <w:rPr>
          <w:rFonts w:ascii="Trebuchet MS"/>
          <w:sz w:val="16"/>
          <w:szCs w:val="16"/>
          <w:vertAlign w:val="subscript"/>
          <w:rtl w:val="0"/>
          <w:lang w:val="en-US"/>
        </w:rPr>
        <w:t>2</w:t>
      </w:r>
      <w:r>
        <w:rPr>
          <w:rFonts w:ascii="Trebuchet MS"/>
          <w:sz w:val="16"/>
          <w:szCs w:val="16"/>
          <w:rtl w:val="0"/>
          <w:lang w:val="en-US"/>
        </w:rPr>
        <w:t>O</w:t>
      </w:r>
      <w:r>
        <w:rPr>
          <w:rFonts w:ascii="Trebuchet MS"/>
          <w:sz w:val="16"/>
          <w:szCs w:val="16"/>
          <w:vertAlign w:val="subscript"/>
          <w:rtl w:val="0"/>
          <w:lang w:val="en-US"/>
        </w:rPr>
        <w:t>3</w:t>
      </w:r>
      <w:r>
        <w:rPr>
          <w:rFonts w:ascii="Trebuchet MS"/>
          <w:sz w:val="16"/>
          <w:szCs w:val="16"/>
          <w:rtl w:val="0"/>
          <w:lang w:val="en-US"/>
        </w:rPr>
        <w:t xml:space="preserve">) in the treatment of acute promyelocytic leukemia (APL): II. Clinical efficacy and pharmacokinetics in relapsed patients. </w:t>
      </w:r>
      <w:r>
        <w:rPr>
          <w:rFonts w:ascii="Trebuchet MS"/>
          <w:i w:val="1"/>
          <w:iCs w:val="1"/>
          <w:sz w:val="16"/>
          <w:szCs w:val="16"/>
          <w:rtl w:val="0"/>
          <w:lang w:val="en-US"/>
        </w:rPr>
        <w:t>Blood</w:t>
      </w:r>
      <w:r>
        <w:rPr>
          <w:rFonts w:ascii="Trebuchet MS"/>
          <w:sz w:val="16"/>
          <w:szCs w:val="16"/>
          <w:rtl w:val="0"/>
          <w:lang w:val="en-US"/>
        </w:rPr>
        <w:t xml:space="preserve"> 89:3354-3360. </w:t>
      </w:r>
    </w:p>
    <w:p>
      <w:pPr>
        <w:pStyle w:val="List Paragraph"/>
        <w:numPr>
          <w:ilvl w:val="0"/>
          <w:numId w:val="5"/>
        </w:numPr>
        <w:spacing w:before="103" w:line="216" w:lineRule="exact"/>
        <w:ind w:left="446" w:right="138" w:hanging="346"/>
        <w:rPr>
          <w:position w:val="0"/>
          <w:sz w:val="16"/>
          <w:szCs w:val="16"/>
        </w:rPr>
      </w:pPr>
      <w:r>
        <w:rPr>
          <w:rFonts w:ascii="Trebuchet MS"/>
          <w:sz w:val="16"/>
          <w:szCs w:val="16"/>
          <w:rtl w:val="0"/>
          <w:lang w:val="en-US"/>
        </w:rPr>
        <w:t xml:space="preserve">Abaza, et al. </w:t>
      </w:r>
      <w:r>
        <w:rPr>
          <w:rFonts w:ascii="Trebuchet MS"/>
          <w:sz w:val="16"/>
          <w:szCs w:val="16"/>
          <w:rtl w:val="0"/>
          <w:lang w:val="en-US"/>
        </w:rPr>
        <w:t xml:space="preserve">(2016) </w:t>
      </w:r>
      <w:r>
        <w:rPr>
          <w:rFonts w:ascii="Trebuchet MS"/>
          <w:sz w:val="16"/>
          <w:szCs w:val="16"/>
          <w:rtl w:val="0"/>
          <w:lang w:val="en-US"/>
        </w:rPr>
        <w:t>Long-term outcome of acute promyelocytic leukemia treated with all-trans-retinoic acid, arsenic trioxide, and gemtuzumab.</w:t>
      </w:r>
      <w:r>
        <w:rPr>
          <w:rFonts w:ascii="Trebuchet MS"/>
          <w:i w:val="1"/>
          <w:iCs w:val="1"/>
          <w:sz w:val="16"/>
          <w:szCs w:val="16"/>
          <w:rtl w:val="0"/>
          <w:lang w:val="en-US"/>
        </w:rPr>
        <w:t xml:space="preserve"> </w:t>
      </w:r>
      <w:r>
        <w:rPr>
          <w:rFonts w:ascii="Helvetica Light"/>
          <w:i w:val="1"/>
          <w:iCs w:val="1"/>
          <w:sz w:val="16"/>
          <w:szCs w:val="16"/>
          <w:rtl w:val="0"/>
          <w:lang w:val="en-US"/>
        </w:rPr>
        <w:t xml:space="preserve">Blood </w:t>
      </w:r>
      <w:r>
        <w:rPr>
          <w:rFonts w:ascii="Helvetica Light"/>
          <w:sz w:val="16"/>
          <w:szCs w:val="16"/>
          <w:rtl w:val="0"/>
          <w:lang w:val="en-US"/>
        </w:rPr>
        <w:t>2016-09-736686</w:t>
      </w:r>
    </w:p>
    <w:p>
      <w:pPr>
        <w:pStyle w:val="List Paragraph"/>
        <w:numPr>
          <w:ilvl w:val="0"/>
          <w:numId w:val="6"/>
        </w:numPr>
        <w:spacing w:before="92" w:line="218" w:lineRule="exact"/>
        <w:ind w:left="446" w:hanging="346"/>
        <w:rPr>
          <w:position w:val="0"/>
          <w:sz w:val="16"/>
          <w:szCs w:val="16"/>
        </w:rPr>
      </w:pPr>
      <w:r>
        <w:rPr>
          <w:rFonts w:ascii="Trebuchet MS"/>
          <w:sz w:val="16"/>
          <w:szCs w:val="16"/>
          <w:rtl w:val="0"/>
          <w:lang w:val="en-US"/>
        </w:rPr>
        <w:t>V</w:t>
      </w:r>
      <w:r>
        <w:rPr>
          <w:rFonts w:ascii="Trebuchet MS"/>
          <w:sz w:val="16"/>
          <w:szCs w:val="16"/>
          <w:rtl w:val="0"/>
          <w:lang w:val="en-US"/>
        </w:rPr>
        <w:t xml:space="preserve">ahidnia A, van der Voet GB, de Wolff FA. </w:t>
      </w:r>
      <w:r>
        <w:rPr>
          <w:rFonts w:ascii="Trebuchet MS"/>
          <w:sz w:val="16"/>
          <w:szCs w:val="16"/>
          <w:rtl w:val="0"/>
          <w:lang w:val="en-US"/>
        </w:rPr>
        <w:t xml:space="preserve">(2007) </w:t>
      </w:r>
      <w:r>
        <w:rPr>
          <w:rFonts w:ascii="Trebuchet MS"/>
          <w:sz w:val="16"/>
          <w:szCs w:val="16"/>
          <w:rtl w:val="0"/>
          <w:lang w:val="en-US"/>
        </w:rPr>
        <w:t xml:space="preserve">Arsenic neurotoxicity </w:t>
      </w:r>
      <w:r>
        <w:rPr>
          <w:rFonts w:hAnsi="Trebuchet MS" w:hint="default"/>
          <w:sz w:val="16"/>
          <w:szCs w:val="16"/>
          <w:rtl w:val="0"/>
          <w:lang w:val="en-US"/>
        </w:rPr>
        <w:t xml:space="preserve">– </w:t>
      </w:r>
      <w:r>
        <w:rPr>
          <w:rFonts w:ascii="Trebuchet MS"/>
          <w:sz w:val="16"/>
          <w:szCs w:val="16"/>
          <w:rtl w:val="0"/>
          <w:lang w:val="en-US"/>
        </w:rPr>
        <w:t xml:space="preserve">a review. </w:t>
      </w:r>
      <w:r>
        <w:rPr>
          <w:rFonts w:ascii="Trebuchet MS"/>
          <w:i w:val="1"/>
          <w:iCs w:val="1"/>
          <w:sz w:val="16"/>
          <w:szCs w:val="16"/>
          <w:rtl w:val="0"/>
          <w:lang w:val="en-US"/>
        </w:rPr>
        <w:t>Human Experiment Toxicol</w:t>
      </w:r>
      <w:r>
        <w:rPr>
          <w:rFonts w:ascii="Trebuchet MS"/>
          <w:sz w:val="16"/>
          <w:szCs w:val="16"/>
          <w:rtl w:val="0"/>
          <w:lang w:val="en-US"/>
        </w:rPr>
        <w:t xml:space="preserve"> 26: 823-832.</w:t>
      </w:r>
    </w:p>
    <w:p>
      <w:pPr>
        <w:pStyle w:val="List Paragraph"/>
        <w:numPr>
          <w:ilvl w:val="0"/>
          <w:numId w:val="6"/>
        </w:numPr>
        <w:spacing w:before="92" w:line="218" w:lineRule="exact"/>
        <w:ind w:left="446" w:hanging="346"/>
        <w:rPr>
          <w:position w:val="0"/>
          <w:sz w:val="16"/>
          <w:szCs w:val="16"/>
        </w:rPr>
      </w:pPr>
      <w:hyperlink r:id="rId10" w:history="1">
        <w:r>
          <w:rPr>
            <w:rStyle w:val="Hyperlink.1"/>
            <w:rFonts w:ascii="Trebuchet MS"/>
            <w:color w:val="000000"/>
            <w:sz w:val="16"/>
            <w:szCs w:val="16"/>
            <w:u w:val="none"/>
            <w:rtl w:val="0"/>
            <w:lang w:val="en-US"/>
          </w:rPr>
          <w:t>Waxman S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11" w:history="1">
        <w:r>
          <w:rPr>
            <w:rStyle w:val="Hyperlink.1"/>
            <w:rFonts w:ascii="Trebuchet MS"/>
            <w:color w:val="000000"/>
            <w:sz w:val="16"/>
            <w:szCs w:val="16"/>
            <w:u w:val="none"/>
            <w:rtl w:val="0"/>
            <w:lang w:val="en-US"/>
          </w:rPr>
          <w:t>Anderson KC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 (2001)</w:t>
      </w:r>
      <w:r>
        <w:rPr>
          <w:rFonts w:ascii="Trebuchet MS"/>
          <w:sz w:val="16"/>
          <w:szCs w:val="16"/>
          <w:rtl w:val="0"/>
          <w:lang w:val="en-US"/>
        </w:rPr>
        <w:t xml:space="preserve"> History of the development of arsenic derivatives in cancer therapy. </w:t>
      </w:r>
      <w:r>
        <w:rPr>
          <w:rFonts w:ascii="Helvetica Light"/>
          <w:i w:val="1"/>
          <w:iCs w:val="1"/>
          <w:sz w:val="16"/>
          <w:szCs w:val="16"/>
          <w:rtl w:val="0"/>
          <w:lang w:val="en-US"/>
        </w:rPr>
        <w:t>Oncologist</w:t>
      </w:r>
      <w:r>
        <w:rPr>
          <w:rFonts w:ascii="Trebuchet MS"/>
          <w:sz w:val="16"/>
          <w:szCs w:val="16"/>
          <w:rtl w:val="0"/>
          <w:lang w:val="en-US"/>
        </w:rPr>
        <w:t xml:space="preserve"> 6 Suppl 2:3-10</w:t>
      </w:r>
    </w:p>
    <w:p>
      <w:pPr>
        <w:pStyle w:val="List Paragraph"/>
        <w:numPr>
          <w:ilvl w:val="0"/>
          <w:numId w:val="6"/>
        </w:numPr>
        <w:spacing w:before="92" w:line="218" w:lineRule="exact"/>
        <w:ind w:left="446" w:hanging="346"/>
        <w:rPr>
          <w:position w:val="0"/>
          <w:sz w:val="16"/>
          <w:szCs w:val="16"/>
        </w:rPr>
      </w:pPr>
      <w:hyperlink r:id="rId12" w:history="1">
        <w:r>
          <w:rPr>
            <w:rStyle w:val="Hyperlink.2"/>
            <w:rFonts w:ascii="Trebuchet MS"/>
            <w:sz w:val="16"/>
            <w:szCs w:val="16"/>
            <w:rtl w:val="0"/>
            <w:lang w:val="en-US"/>
          </w:rPr>
          <w:t>Lazo G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13" w:history="1">
        <w:r>
          <w:rPr>
            <w:rStyle w:val="Hyperlink.3"/>
            <w:rFonts w:ascii="Trebuchet MS"/>
            <w:sz w:val="16"/>
            <w:szCs w:val="16"/>
            <w:rtl w:val="0"/>
            <w:lang w:val="en-US"/>
          </w:rPr>
          <w:t>Kantarjian H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14" w:history="1">
        <w:r>
          <w:rPr>
            <w:rStyle w:val="Hyperlink.4"/>
            <w:rFonts w:ascii="Trebuchet MS"/>
            <w:sz w:val="16"/>
            <w:szCs w:val="16"/>
            <w:rtl w:val="0"/>
            <w:lang w:val="en-US"/>
          </w:rPr>
          <w:t>Estey E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15" w:history="1">
        <w:r>
          <w:rPr>
            <w:rStyle w:val="Hyperlink.5"/>
            <w:rFonts w:ascii="Trebuchet MS"/>
            <w:sz w:val="16"/>
            <w:szCs w:val="16"/>
            <w:rtl w:val="0"/>
            <w:lang w:val="en-US"/>
          </w:rPr>
          <w:t>Thomas D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16" w:history="1">
        <w:r>
          <w:rPr>
            <w:rStyle w:val="Hyperlink.6"/>
            <w:rFonts w:ascii="Trebuchet MS"/>
            <w:sz w:val="16"/>
            <w:szCs w:val="16"/>
            <w:rtl w:val="0"/>
            <w:lang w:val="en-US"/>
          </w:rPr>
          <w:t>O'Brien S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17" w:history="1">
        <w:r>
          <w:rPr>
            <w:rStyle w:val="Hyperlink.7"/>
            <w:rFonts w:ascii="Trebuchet MS"/>
            <w:sz w:val="16"/>
            <w:szCs w:val="16"/>
            <w:rtl w:val="0"/>
            <w:lang w:val="en-US"/>
          </w:rPr>
          <w:t>Cortes J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 (2003)</w:t>
      </w:r>
      <w:r>
        <w:rPr>
          <w:rFonts w:ascii="Trebuchet MS"/>
          <w:sz w:val="16"/>
          <w:szCs w:val="16"/>
          <w:rtl w:val="0"/>
          <w:lang w:val="en-US"/>
        </w:rPr>
        <w:t>.</w:t>
      </w:r>
      <w:r>
        <w:rPr>
          <w:rFonts w:ascii="Trebuchet MS"/>
          <w:sz w:val="16"/>
          <w:szCs w:val="16"/>
          <w:rtl w:val="0"/>
          <w:lang w:val="en-US"/>
        </w:rPr>
        <w:t xml:space="preserve"> </w:t>
      </w:r>
      <w:r>
        <w:rPr>
          <w:rFonts w:ascii="Trebuchet MS"/>
          <w:sz w:val="16"/>
          <w:szCs w:val="16"/>
          <w:rtl w:val="0"/>
          <w:lang w:val="en-US"/>
        </w:rPr>
        <w:t>Use of arsenic trioxide (As2O3) in the treatment of patients with acute promyelocytic leukemia: the M. D. Anderson experience.</w:t>
      </w:r>
      <w:r>
        <w:rPr>
          <w:rFonts w:ascii="Trebuchet MS"/>
          <w:sz w:val="16"/>
          <w:szCs w:val="16"/>
          <w:rtl w:val="0"/>
          <w:lang w:val="en-US"/>
        </w:rPr>
        <w:t xml:space="preserve"> </w:t>
      </w:r>
      <w:r>
        <w:rPr>
          <w:rFonts w:ascii="Trebuchet MS"/>
          <w:i w:val="1"/>
          <w:iCs w:val="1"/>
          <w:sz w:val="16"/>
          <w:szCs w:val="16"/>
          <w:rtl w:val="0"/>
          <w:lang w:val="en-US"/>
        </w:rPr>
        <w:t>Cancer.</w:t>
      </w:r>
      <w:r>
        <w:rPr>
          <w:rFonts w:ascii="Trebuchet MS"/>
          <w:sz w:val="16"/>
          <w:szCs w:val="16"/>
          <w:rtl w:val="0"/>
          <w:lang w:val="en-US"/>
        </w:rPr>
        <w:t xml:space="preserve"> May 1;97(9):2218-24.</w:t>
      </w:r>
    </w:p>
    <w:p>
      <w:pPr>
        <w:pStyle w:val="List Paragraph"/>
        <w:numPr>
          <w:ilvl w:val="0"/>
          <w:numId w:val="6"/>
        </w:numPr>
        <w:spacing w:before="92" w:line="218" w:lineRule="exact"/>
        <w:ind w:left="446" w:hanging="346"/>
        <w:rPr>
          <w:position w:val="0"/>
          <w:sz w:val="16"/>
          <w:szCs w:val="16"/>
        </w:rPr>
      </w:pPr>
      <w:hyperlink r:id="rId18" w:history="1">
        <w:r>
          <w:rPr>
            <w:rStyle w:val="Hyperlink.8"/>
            <w:rFonts w:ascii="Trebuchet MS"/>
            <w:sz w:val="16"/>
            <w:szCs w:val="16"/>
            <w:rtl w:val="0"/>
            <w:lang w:val="en-US"/>
          </w:rPr>
          <w:t>Mukherjee SC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19" w:history="1">
        <w:r>
          <w:rPr>
            <w:rStyle w:val="Hyperlink.9"/>
            <w:rFonts w:ascii="Trebuchet MS"/>
            <w:sz w:val="16"/>
            <w:szCs w:val="16"/>
            <w:rtl w:val="0"/>
            <w:lang w:val="en-US"/>
          </w:rPr>
          <w:t>Rahman MM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20" w:history="1">
        <w:r>
          <w:rPr>
            <w:rStyle w:val="Hyperlink.10"/>
            <w:rFonts w:ascii="Trebuchet MS"/>
            <w:sz w:val="16"/>
            <w:szCs w:val="16"/>
            <w:rtl w:val="0"/>
            <w:lang w:val="en-US"/>
          </w:rPr>
          <w:t>Chowdhury UK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21" w:history="1">
        <w:r>
          <w:rPr>
            <w:rStyle w:val="Hyperlink.11"/>
            <w:rFonts w:ascii="Trebuchet MS"/>
            <w:sz w:val="16"/>
            <w:szCs w:val="16"/>
            <w:rtl w:val="0"/>
            <w:lang w:val="en-US"/>
          </w:rPr>
          <w:t>Sengupta MK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22" w:history="1">
        <w:r>
          <w:rPr>
            <w:rStyle w:val="Hyperlink.12"/>
            <w:rFonts w:ascii="Trebuchet MS"/>
            <w:sz w:val="16"/>
            <w:szCs w:val="16"/>
            <w:rtl w:val="0"/>
            <w:lang w:val="en-US"/>
          </w:rPr>
          <w:t>Lodh D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23" w:history="1">
        <w:r>
          <w:rPr>
            <w:rStyle w:val="Hyperlink.13"/>
            <w:rFonts w:ascii="Trebuchet MS"/>
            <w:sz w:val="16"/>
            <w:szCs w:val="16"/>
            <w:rtl w:val="0"/>
            <w:lang w:val="en-US"/>
          </w:rPr>
          <w:t>Chanda CR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24" w:history="1">
        <w:r>
          <w:rPr>
            <w:rStyle w:val="Hyperlink.14"/>
            <w:rFonts w:ascii="Trebuchet MS"/>
            <w:sz w:val="16"/>
            <w:szCs w:val="16"/>
            <w:rtl w:val="0"/>
            <w:lang w:val="en-US"/>
          </w:rPr>
          <w:t>Saha KC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25" w:history="1">
        <w:r>
          <w:rPr>
            <w:rStyle w:val="Hyperlink.15"/>
            <w:rFonts w:ascii="Trebuchet MS"/>
            <w:sz w:val="16"/>
            <w:szCs w:val="16"/>
            <w:rtl w:val="0"/>
            <w:lang w:val="en-US"/>
          </w:rPr>
          <w:t>Chakraborti D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 (2003) </w:t>
      </w:r>
      <w:r>
        <w:rPr>
          <w:rFonts w:ascii="Trebuchet MS"/>
          <w:sz w:val="16"/>
          <w:szCs w:val="16"/>
          <w:rtl w:val="0"/>
          <w:lang w:val="en-US"/>
        </w:rPr>
        <w:t>Neuropathy in arsenic toxicity from groundwater arsenic contamination in West Bengal, India.</w:t>
      </w:r>
      <w:r>
        <w:rPr>
          <w:rFonts w:ascii="Trebuchet MS"/>
          <w:sz w:val="16"/>
          <w:szCs w:val="16"/>
          <w:rtl w:val="0"/>
          <w:lang w:val="en-US"/>
        </w:rPr>
        <w:t xml:space="preserve"> </w:t>
      </w:r>
      <w:r>
        <w:rPr>
          <w:rFonts w:ascii="Trebuchet MS"/>
          <w:i w:val="1"/>
          <w:iCs w:val="1"/>
          <w:sz w:val="16"/>
          <w:szCs w:val="16"/>
          <w:rtl w:val="0"/>
          <w:lang w:val="en-US"/>
        </w:rPr>
        <w:t>J Environ Sci Health A Tox Hazard Subst Environ Eng.</w:t>
      </w:r>
      <w:r>
        <w:rPr>
          <w:rFonts w:ascii="Trebuchet MS"/>
          <w:sz w:val="16"/>
          <w:szCs w:val="16"/>
          <w:rtl w:val="0"/>
          <w:lang w:val="en-US"/>
        </w:rPr>
        <w:t xml:space="preserve"> 2003 Jan;38(1):165-83.</w:t>
      </w:r>
    </w:p>
    <w:p>
      <w:pPr>
        <w:pStyle w:val="List Paragraph"/>
        <w:numPr>
          <w:ilvl w:val="0"/>
          <w:numId w:val="6"/>
        </w:numPr>
        <w:spacing w:before="92" w:line="218" w:lineRule="exact"/>
        <w:ind w:left="446" w:hanging="346"/>
        <w:rPr>
          <w:rFonts w:ascii="Calibri" w:cs="Calibri" w:hAnsi="Calibri" w:eastAsia="Calibri"/>
          <w:position w:val="0"/>
          <w:sz w:val="16"/>
          <w:szCs w:val="16"/>
        </w:rPr>
      </w:pPr>
      <w:hyperlink r:id="rId26" w:history="1">
        <w:r>
          <w:rPr>
            <w:rStyle w:val="Hyperlink.16"/>
            <w:rFonts w:ascii="Trebuchet MS"/>
            <w:sz w:val="16"/>
            <w:szCs w:val="16"/>
            <w:rtl w:val="0"/>
            <w:lang w:val="en-US"/>
          </w:rPr>
          <w:t>Ohnishi K</w:t>
        </w:r>
      </w:hyperlink>
      <w:r>
        <w:rPr>
          <w:rFonts w:ascii="Trebuchet MS"/>
          <w:sz w:val="20"/>
          <w:szCs w:val="20"/>
          <w:rtl w:val="0"/>
          <w:lang w:val="en-US"/>
        </w:rPr>
        <w:t>,</w:t>
      </w:r>
      <w:r>
        <w:rPr>
          <w:rFonts w:ascii="Trebuchet MS"/>
          <w:sz w:val="16"/>
          <w:szCs w:val="16"/>
          <w:rtl w:val="0"/>
          <w:lang w:val="en-US"/>
        </w:rPr>
        <w:t xml:space="preserve"> </w:t>
      </w:r>
      <w:hyperlink r:id="rId27" w:history="1">
        <w:r>
          <w:rPr>
            <w:rStyle w:val="Hyperlink.17"/>
            <w:rFonts w:ascii="Trebuchet MS"/>
            <w:sz w:val="16"/>
            <w:szCs w:val="16"/>
            <w:rtl w:val="0"/>
            <w:lang w:val="en-US"/>
          </w:rPr>
          <w:t>Yoshida H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28" w:history="1">
        <w:r>
          <w:rPr>
            <w:rStyle w:val="Hyperlink.18"/>
            <w:rFonts w:ascii="Trebuchet MS"/>
            <w:sz w:val="16"/>
            <w:szCs w:val="16"/>
            <w:rtl w:val="0"/>
            <w:lang w:val="en-US"/>
          </w:rPr>
          <w:t>Shigeno K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29" w:history="1">
        <w:r>
          <w:rPr>
            <w:rStyle w:val="Hyperlink.19"/>
            <w:rFonts w:ascii="Trebuchet MS"/>
            <w:sz w:val="16"/>
            <w:szCs w:val="16"/>
            <w:rtl w:val="0"/>
            <w:lang w:val="en-US"/>
          </w:rPr>
          <w:t>Nakamura S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0" w:history="1">
        <w:r>
          <w:rPr>
            <w:rStyle w:val="Hyperlink.20"/>
            <w:rFonts w:ascii="Trebuchet MS"/>
            <w:sz w:val="16"/>
            <w:szCs w:val="16"/>
            <w:rtl w:val="0"/>
            <w:lang w:val="en-US"/>
          </w:rPr>
          <w:t>Fujisawa S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1" w:history="1">
        <w:r>
          <w:rPr>
            <w:rStyle w:val="Hyperlink.21"/>
            <w:rFonts w:ascii="Trebuchet MS"/>
            <w:sz w:val="16"/>
            <w:szCs w:val="16"/>
            <w:rtl w:val="0"/>
            <w:lang w:val="en-US"/>
          </w:rPr>
          <w:t>Naito K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2" w:history="1">
        <w:r>
          <w:rPr>
            <w:rStyle w:val="Hyperlink.22"/>
            <w:rFonts w:ascii="Trebuchet MS"/>
            <w:sz w:val="16"/>
            <w:szCs w:val="16"/>
            <w:rtl w:val="0"/>
            <w:lang w:val="en-US"/>
          </w:rPr>
          <w:t>Shinjo K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3" w:history="1">
        <w:r>
          <w:rPr>
            <w:rStyle w:val="Hyperlink.23"/>
            <w:rFonts w:ascii="Trebuchet MS"/>
            <w:sz w:val="16"/>
            <w:szCs w:val="16"/>
            <w:rtl w:val="0"/>
            <w:lang w:val="en-US"/>
          </w:rPr>
          <w:t>Fujita Y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4" w:history="1">
        <w:r>
          <w:rPr>
            <w:rStyle w:val="Hyperlink.24"/>
            <w:rFonts w:ascii="Trebuchet MS"/>
            <w:sz w:val="16"/>
            <w:szCs w:val="16"/>
            <w:rtl w:val="0"/>
            <w:lang w:val="en-US"/>
          </w:rPr>
          <w:t>Matsui H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5" w:history="1">
        <w:r>
          <w:rPr>
            <w:rStyle w:val="Hyperlink.25"/>
            <w:rFonts w:ascii="Trebuchet MS"/>
            <w:sz w:val="16"/>
            <w:szCs w:val="16"/>
            <w:rtl w:val="0"/>
            <w:lang w:val="en-US"/>
          </w:rPr>
          <w:t>Sahara N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6" w:history="1">
        <w:r>
          <w:rPr>
            <w:rStyle w:val="Hyperlink.26"/>
            <w:rFonts w:ascii="Trebuchet MS"/>
            <w:sz w:val="16"/>
            <w:szCs w:val="16"/>
            <w:rtl w:val="0"/>
            <w:lang w:val="en-US"/>
          </w:rPr>
          <w:t>Takeshita A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7" w:history="1">
        <w:r>
          <w:rPr>
            <w:rStyle w:val="Hyperlink.27"/>
            <w:rFonts w:ascii="Trebuchet MS"/>
            <w:sz w:val="16"/>
            <w:szCs w:val="16"/>
            <w:rtl w:val="0"/>
            <w:lang w:val="en-US"/>
          </w:rPr>
          <w:t>Satoh H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8" w:history="1">
        <w:r>
          <w:rPr>
            <w:rStyle w:val="Hyperlink.28"/>
            <w:rFonts w:ascii="Trebuchet MS"/>
            <w:sz w:val="16"/>
            <w:szCs w:val="16"/>
            <w:rtl w:val="0"/>
            <w:lang w:val="en-US"/>
          </w:rPr>
          <w:t>Terada H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, </w:t>
      </w:r>
      <w:hyperlink r:id="rId39" w:history="1">
        <w:r>
          <w:rPr>
            <w:rStyle w:val="Hyperlink.29"/>
            <w:rFonts w:ascii="Trebuchet MS"/>
            <w:sz w:val="16"/>
            <w:szCs w:val="16"/>
            <w:rtl w:val="0"/>
            <w:lang w:val="en-US"/>
          </w:rPr>
          <w:t>Ohno R</w:t>
        </w:r>
      </w:hyperlink>
      <w:r>
        <w:rPr>
          <w:rFonts w:ascii="Trebuchet MS"/>
          <w:sz w:val="16"/>
          <w:szCs w:val="16"/>
          <w:rtl w:val="0"/>
          <w:lang w:val="en-US"/>
        </w:rPr>
        <w:t xml:space="preserve"> (2002) </w:t>
      </w:r>
      <w:r>
        <w:rPr>
          <w:rFonts w:ascii="Trebuchet MS"/>
          <w:sz w:val="16"/>
          <w:szCs w:val="16"/>
          <w:rtl w:val="0"/>
          <w:lang w:val="en-US"/>
        </w:rPr>
        <w:t>Arsenic trioxide therapy for relapsed or refractory Japanese patients with acute promyelocytic leukemia: need for careful electrocardiogram monitoring.</w:t>
      </w:r>
      <w:r>
        <w:rPr>
          <w:rFonts w:ascii="Trebuchet MS"/>
          <w:sz w:val="16"/>
          <w:szCs w:val="16"/>
          <w:rtl w:val="0"/>
          <w:lang w:val="en-US"/>
        </w:rPr>
        <w:t xml:space="preserve"> </w:t>
      </w:r>
      <w:r>
        <w:rPr>
          <w:rFonts w:ascii="Trebuchet MS"/>
          <w:i w:val="1"/>
          <w:iCs w:val="1"/>
          <w:sz w:val="16"/>
          <w:szCs w:val="16"/>
          <w:rtl w:val="0"/>
          <w:lang w:val="en-US"/>
        </w:rPr>
        <w:t>Leukemia</w:t>
      </w:r>
      <w:r>
        <w:rPr>
          <w:rFonts w:ascii="Trebuchet MS"/>
          <w:i w:val="1"/>
          <w:iCs w:val="1"/>
          <w:sz w:val="16"/>
          <w:szCs w:val="16"/>
          <w:rtl w:val="0"/>
          <w:lang w:val="en-US"/>
        </w:rPr>
        <w:t xml:space="preserve"> </w:t>
      </w:r>
      <w:r>
        <w:rPr>
          <w:rFonts w:ascii="Trebuchet MS"/>
          <w:sz w:val="16"/>
          <w:szCs w:val="16"/>
          <w:rtl w:val="0"/>
          <w:lang w:val="en-US"/>
        </w:rPr>
        <w:t xml:space="preserve"> Apr16(4):617-22</w:t>
      </w:r>
    </w:p>
    <w:p>
      <w:pPr>
        <w:pStyle w:val="Body"/>
        <w:tabs>
          <w:tab w:val="left" w:pos="384"/>
        </w:tabs>
        <w:ind w:right="117"/>
        <w:rPr>
          <w:rFonts w:ascii="Calibri" w:cs="Calibri" w:hAnsi="Calibri" w:eastAsia="Calibri"/>
        </w:rPr>
      </w:pPr>
    </w:p>
    <w:p>
      <w:pPr>
        <w:pStyle w:val="Body"/>
        <w:spacing w:line="200" w:lineRule="exact"/>
        <w:jc w:val="both"/>
        <w:sectPr>
          <w:headerReference w:type="default" r:id="rId40"/>
          <w:footerReference w:type="default" r:id="rId41"/>
          <w:type w:val="continuous"/>
          <w:pgSz w:w="11920" w:h="16840" w:orient="portrait"/>
          <w:pgMar w:top="1740" w:right="600" w:bottom="840" w:left="620" w:header="541" w:footer="642"/>
          <w:cols w:num="2" w:equalWidth="0">
            <w:col w:w="5229" w:space="138"/>
            <w:col w:w="5353" w:space="0"/>
          </w:cols>
          <w:bidi w:val="0"/>
        </w:sectPr>
      </w:pPr>
      <w:r>
        <w:rPr>
          <w:rFonts w:ascii="Calibri" w:cs="Calibri" w:hAnsi="Calibri" w:eastAsia="Calibri"/>
          <w:rtl w:val="0"/>
        </w:rPr>
        <w:t xml:space="preserve">   </w:t>
      </w:r>
    </w:p>
    <w:p>
      <w:pPr>
        <w:pStyle w:val="Body Text"/>
        <w:rPr>
          <w:rFonts w:ascii="Calibri" w:cs="Calibri" w:hAnsi="Calibri" w:eastAsia="Calibri"/>
          <w:sz w:val="20"/>
          <w:szCs w:val="20"/>
        </w:rPr>
      </w:pPr>
    </w:p>
    <w:p>
      <w:pPr>
        <w:pStyle w:val="Body Text"/>
        <w:spacing w:line="40" w:lineRule="exact"/>
        <w:ind w:left="2202" w:firstLine="0"/>
        <w:rPr>
          <w:rFonts w:ascii="Calibri" w:cs="Calibri" w:hAnsi="Calibri" w:eastAsia="Calibri"/>
          <w:sz w:val="4"/>
          <w:szCs w:val="4"/>
        </w:rPr>
      </w:pPr>
      <w:r>
        <w:rPr>
          <w:rFonts w:ascii="Calibri" w:cs="Calibri" w:hAnsi="Calibri" w:eastAsia="Calibri"/>
          <w:sz w:val="4"/>
          <w:szCs w:val="4"/>
          <w:rtl w:val="0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Body"/>
        <w:spacing w:before="92"/>
        <w:ind w:right="4234"/>
        <w:rPr>
          <w:rFonts w:ascii="Arial" w:cs="Arial" w:hAnsi="Arial" w:eastAsia="Arial"/>
        </w:rPr>
      </w:pPr>
      <w:r>
        <w:rPr>
          <w:rtl w:val="0"/>
        </w:rPr>
        <w:t xml:space="preserve">              </w:t>
      </w:r>
      <w:r>
        <w:rPr>
          <w:rtl w:val="0"/>
        </w:rPr>
        <w:drawing>
          <wp:inline distT="0" distB="0" distL="0" distR="0">
            <wp:extent cx="628153" cy="623169"/>
            <wp:effectExtent l="0" t="0" r="0" b="0"/>
            <wp:docPr id="1073741841" name="officeArt object" descr="dum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2.jpg" descr="dummy"/>
                    <pic:cNvPicPr/>
                  </pic:nvPicPr>
                  <pic:blipFill>
                    <a:blip r:embed="rId4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53" cy="6231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  <w:u w:color="bf5a14"/>
          <w:rtl w:val="0"/>
          <w:lang w:val="fr-FR"/>
        </w:rPr>
        <w:t>Biography</w:t>
      </w:r>
    </w:p>
    <w:p>
      <w:pPr>
        <w:pStyle w:val="Body"/>
        <w:spacing w:before="41" w:line="154" w:lineRule="exact"/>
        <w:ind w:left="213" w:right="231" w:firstLine="0"/>
        <w:jc w:val="both"/>
        <w:rPr>
          <w:rFonts w:ascii="Arial" w:cs="Arial" w:hAnsi="Arial" w:eastAsia="Arial"/>
          <w:sz w:val="14"/>
          <w:szCs w:val="14"/>
        </w:rPr>
      </w:pPr>
      <w:r>
        <w:rPr>
          <w:rFonts w:ascii="Arial"/>
          <w:sz w:val="14"/>
          <w:szCs w:val="14"/>
          <w:rtl w:val="0"/>
          <w:lang w:val="en-US"/>
        </w:rPr>
        <w:t>Dr. Betty Chernack is a fellow in Hospice and Palliative Medicine at Cooper University Hospital in Camden, NJ, USA. Prior to fellowship, she completed a Physical Medicine and Rehabilitation residency at Harvard Medical School / Spaulding Rehabilitation Hospital. Her clinical and research interests include Oncologic Rehabilitation and the use of rehabilitation modalities in the Palliative Care patient population.</w:t>
      </w:r>
    </w:p>
    <w:p>
      <w:pPr>
        <w:pStyle w:val="Body"/>
        <w:spacing w:before="62"/>
        <w:ind w:left="4217" w:right="4235" w:firstLine="0"/>
        <w:jc w:val="center"/>
        <w:rPr>
          <w:rFonts w:ascii="Arial" w:cs="Arial" w:hAnsi="Arial" w:eastAsia="Arial"/>
          <w:sz w:val="14"/>
          <w:szCs w:val="14"/>
        </w:rPr>
      </w:pPr>
      <w:r>
        <w:rPr>
          <w:rFonts w:ascii="Arial"/>
          <w:sz w:val="14"/>
          <w:szCs w:val="14"/>
          <w:rtl w:val="0"/>
        </w:rPr>
        <w:t>Email:</w:t>
      </w:r>
      <w:r>
        <w:rPr>
          <w:rFonts w:ascii="Arial"/>
          <w:sz w:val="14"/>
          <w:szCs w:val="14"/>
          <w:rtl w:val="0"/>
          <w:lang w:val="en-US"/>
        </w:rPr>
        <w:t xml:space="preserve"> bchernack@gmail.com</w:t>
      </w:r>
    </w:p>
    <w:p>
      <w:pPr>
        <w:pStyle w:val="Body Text"/>
        <w:spacing w:before="2"/>
        <w:rPr>
          <w:rFonts w:ascii="Arial" w:cs="Arial" w:hAnsi="Arial" w:eastAsia="Arial"/>
          <w:sz w:val="19"/>
          <w:szCs w:val="19"/>
        </w:rPr>
      </w:pPr>
      <w:r>
        <w:rPr>
          <w:rtl w:val="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rPr>
          <w:rFonts w:ascii="Arial" w:cs="Arial" w:hAnsi="Arial" w:eastAsia="Arial"/>
          <w:sz w:val="20"/>
          <w:szCs w:val="20"/>
        </w:rPr>
      </w:pPr>
    </w:p>
    <w:p>
      <w:pPr>
        <w:pStyle w:val="Body Text"/>
        <w:rPr>
          <w:rFonts w:ascii="Arial" w:cs="Arial" w:hAnsi="Arial" w:eastAsia="Arial"/>
          <w:sz w:val="20"/>
          <w:szCs w:val="20"/>
        </w:rPr>
      </w:pPr>
    </w:p>
    <w:p>
      <w:pPr>
        <w:pStyle w:val="Body Text"/>
        <w:spacing w:before="7"/>
        <w:rPr>
          <w:rFonts w:ascii="Arial" w:cs="Arial" w:hAnsi="Arial" w:eastAsia="Arial"/>
          <w:sz w:val="29"/>
          <w:szCs w:val="29"/>
        </w:rPr>
      </w:pPr>
    </w:p>
    <w:p>
      <w:pPr>
        <w:pStyle w:val="Body"/>
        <w:spacing w:before="39"/>
        <w:ind w:left="100" w:firstLine="0"/>
        <w:rPr>
          <w:rFonts w:ascii="Minion Pro" w:cs="Minion Pro" w:hAnsi="Minion Pro" w:eastAsia="Minion Pro"/>
          <w:b w:val="1"/>
          <w:bCs w:val="1"/>
          <w:sz w:val="20"/>
          <w:szCs w:val="20"/>
        </w:rPr>
      </w:pPr>
      <w:r>
        <w:rPr>
          <w:rFonts w:ascii="Minion Pro" w:cs="Minion Pro" w:hAnsi="Minion Pro" w:eastAsia="Minion Pro"/>
          <w:b w:val="1"/>
          <w:bCs w:val="1"/>
          <w:sz w:val="20"/>
          <w:szCs w:val="20"/>
          <w:rtl w:val="0"/>
          <w:lang w:val="fr-FR"/>
        </w:rPr>
        <w:t>Notes/Comments:</w:t>
      </w:r>
    </w:p>
    <w:p>
      <w:pPr>
        <w:pStyle w:val="Body"/>
      </w:pPr>
      <w:r>
        <w:rPr>
          <w:rFonts w:ascii="Minion Pro" w:cs="Minion Pro" w:hAnsi="Minion Pro" w:eastAsia="Minion Pro"/>
          <w:b w:val="1"/>
          <w:bCs w:val="1"/>
          <w:sz w:val="20"/>
          <w:szCs w:val="20"/>
        </w:rPr>
        <w:br w:type="page"/>
      </w:r>
      <w:r>
        <w:rPr>
          <w:rFonts w:ascii="Minion Pro" w:cs="Minion Pro" w:hAnsi="Minion Pro" w:eastAsia="Minion Pro"/>
          <w:b w:val="1"/>
          <w:bCs w:val="1"/>
          <w:sz w:val="20"/>
          <w:szCs w:val="20"/>
        </w:rPr>
        <w:br w:type="page"/>
      </w:r>
    </w:p>
    <w:p>
      <w:pPr>
        <w:pStyle w:val="Body"/>
      </w:pPr>
    </w:p>
    <w:sectPr>
      <w:headerReference w:type="default" r:id="rId43"/>
      <w:footerReference w:type="default" r:id="rId44"/>
      <w:type w:val="continuous"/>
      <w:pgSz w:w="11920" w:h="16840" w:orient="portrait"/>
      <w:pgMar w:top="1740" w:right="600" w:bottom="840" w:left="620" w:header="541" w:footer="64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w Cen MT">
    <w:charset w:val="00"/>
    <w:family w:val="roman"/>
    <w:pitch w:val="default"/>
  </w:font>
  <w:font w:name="Myriad Pro">
    <w:charset w:val="00"/>
    <w:family w:val="roman"/>
    <w:pitch w:val="default"/>
  </w:font>
  <w:font w:name="Impact">
    <w:charset w:val="00"/>
    <w:family w:val="roman"/>
    <w:pitch w:val="default"/>
  </w:font>
  <w:font w:name="Minion Pro">
    <w:charset w:val="00"/>
    <w:family w:val="roman"/>
    <w:pitch w:val="default"/>
  </w:font>
  <w:font w:name="Times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  <w:font w:name="Helvetica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footer3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5283199</wp:posOffset>
              </wp:positionH>
              <wp:positionV relativeFrom="page">
                <wp:posOffset>330835</wp:posOffset>
              </wp:positionV>
              <wp:extent cx="1832611" cy="22098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 w:history="1">
                            <w:r>
                              <w:rPr>
                                <w:rStyle w:val="Hyperlink.0"/>
                                <w:rFonts w:ascii="Arial"/>
                                <w:color w:val="ffffff"/>
                                <w:sz w:val="14"/>
                                <w:szCs w:val="14"/>
                                <w:u w:color="ffffff"/>
                                <w:rtl w:val="0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/>
                        <w:color w:val="ffffff"/>
                        <w:sz w:val="14"/>
                        <w:szCs w:val="14"/>
                        <w:u w:color="ffffff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hyperlink r:id="rId1" w:history="1">
                      <w:r>
                        <w:rPr>
                          <w:rStyle w:val="Hyperlink.0"/>
                          <w:rFonts w:ascii="Arial"/>
                          <w:color w:val="ffffff"/>
                          <w:sz w:val="14"/>
                          <w:szCs w:val="14"/>
                          <w:u w:color="ffffff"/>
                          <w:rtl w:val="0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552566" cy="50927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566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Fonts w:asci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5.0pt;margin-top:48.3pt;width:516.0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Fonts w:asci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Fonts w:asci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1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Fonts w:ascii="Impact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9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2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5283199</wp:posOffset>
              </wp:positionH>
              <wp:positionV relativeFrom="page">
                <wp:posOffset>330835</wp:posOffset>
              </wp:positionV>
              <wp:extent cx="1832611" cy="220980"/>
              <wp:effectExtent l="0" t="0" r="0" b="0"/>
              <wp:wrapNone/>
              <wp:docPr id="1073741830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 w:history="1">
                            <w:r>
                              <w:rPr>
                                <w:rStyle w:val="Hyperlink.0"/>
                                <w:rFonts w:ascii="Arial"/>
                                <w:color w:val="ffffff"/>
                                <w:sz w:val="14"/>
                                <w:szCs w:val="14"/>
                                <w:u w:color="ffffff"/>
                                <w:rtl w:val="0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3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/>
                        <w:color w:val="ffffff"/>
                        <w:sz w:val="14"/>
                        <w:szCs w:val="14"/>
                        <w:u w:color="ffffff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hyperlink r:id="rId1" w:history="1">
                      <w:r>
                        <w:rPr>
                          <w:rStyle w:val="Hyperlink.0"/>
                          <w:rFonts w:ascii="Arial"/>
                          <w:color w:val="ffffff"/>
                          <w:sz w:val="14"/>
                          <w:szCs w:val="14"/>
                          <w:u w:color="ffffff"/>
                          <w:rtl w:val="0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552566" cy="509270"/>
              <wp:effectExtent l="0" t="0" r="0" b="0"/>
              <wp:wrapNone/>
              <wp:docPr id="1073741831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566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Fonts w:asci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4" style="visibility:visible;position:absolute;margin-left:35.0pt;margin-top:48.3pt;width:516.0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Fonts w:asci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32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5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073741833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Fonts w:asci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6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Fonts w:ascii="Impact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34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7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5283199</wp:posOffset>
              </wp:positionH>
              <wp:positionV relativeFrom="page">
                <wp:posOffset>330835</wp:posOffset>
              </wp:positionV>
              <wp:extent cx="1832611" cy="220980"/>
              <wp:effectExtent l="0" t="0" r="0" b="0"/>
              <wp:wrapNone/>
              <wp:docPr id="107374183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 w:history="1">
                            <w:r>
                              <w:rPr>
                                <w:rStyle w:val="Hyperlink.0"/>
                                <w:rFonts w:ascii="Arial"/>
                                <w:color w:val="ffffff"/>
                                <w:sz w:val="14"/>
                                <w:szCs w:val="14"/>
                                <w:u w:color="ffffff"/>
                                <w:rtl w:val="0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8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/>
                        <w:color w:val="ffffff"/>
                        <w:sz w:val="14"/>
                        <w:szCs w:val="14"/>
                        <w:u w:color="ffffff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hyperlink r:id="rId1" w:history="1">
                      <w:r>
                        <w:rPr>
                          <w:rStyle w:val="Hyperlink.0"/>
                          <w:rFonts w:ascii="Arial"/>
                          <w:color w:val="ffffff"/>
                          <w:sz w:val="14"/>
                          <w:szCs w:val="14"/>
                          <w:u w:color="ffffff"/>
                          <w:rtl w:val="0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552566" cy="509270"/>
              <wp:effectExtent l="0" t="0" r="0" b="0"/>
              <wp:wrapNone/>
              <wp:docPr id="107374183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566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Fonts w:ascii="Impact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9" style="visibility:visible;position:absolute;margin-left:35.0pt;margin-top:48.3pt;width:516.0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Fonts w:ascii="Impact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3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0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07374183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Fonts w:ascii="Impact" w:cs="Impact" w:hAnsi="Impact" w:eastAsia="Impact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Fonts w:ascii="Impact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1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Fonts w:ascii="Impact" w:cs="Impact" w:hAnsi="Impact" w:eastAsia="Impact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Fonts w:ascii="Impact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39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2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/>
      <w:rPr>
        <w:color w:val="000000"/>
        <w:position w:val="0"/>
        <w:u w:val="none"/>
      </w:rPr>
    </w:lvl>
    <w:lvl w:ilvl="1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2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4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5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7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8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/>
      <w:rPr>
        <w:color w:val="0000ff"/>
        <w:position w:val="0"/>
        <w:u w:val="single" w:color="0000ff"/>
      </w:rPr>
    </w:lvl>
    <w:lvl w:ilvl="1">
      <w:start w:val="1"/>
      <w:numFmt w:val="bullet"/>
      <w:suff w:val="tab"/>
      <w:lvlText w:val="•"/>
      <w:lvlJc w:val="left"/>
      <w:pPr/>
      <w:rPr>
        <w:color w:val="0000ff"/>
        <w:position w:val="0"/>
        <w:u w:val="single" w:color="0000ff"/>
      </w:rPr>
    </w:lvl>
    <w:lvl w:ilvl="2">
      <w:start w:val="1"/>
      <w:numFmt w:val="bullet"/>
      <w:suff w:val="tab"/>
      <w:lvlText w:val="•"/>
      <w:lvlJc w:val="left"/>
      <w:pPr/>
      <w:rPr>
        <w:color w:val="0000ff"/>
        <w:position w:val="0"/>
        <w:u w:val="single" w:color="0000ff"/>
      </w:rPr>
    </w:lvl>
    <w:lvl w:ilvl="3">
      <w:start w:val="1"/>
      <w:numFmt w:val="bullet"/>
      <w:suff w:val="tab"/>
      <w:lvlText w:val="•"/>
      <w:lvlJc w:val="left"/>
      <w:pPr/>
      <w:rPr>
        <w:color w:val="0000ff"/>
        <w:position w:val="0"/>
        <w:u w:val="single" w:color="0000ff"/>
      </w:rPr>
    </w:lvl>
    <w:lvl w:ilvl="4">
      <w:start w:val="1"/>
      <w:numFmt w:val="bullet"/>
      <w:suff w:val="tab"/>
      <w:lvlText w:val="•"/>
      <w:lvlJc w:val="left"/>
      <w:pPr/>
      <w:rPr>
        <w:color w:val="0000ff"/>
        <w:position w:val="0"/>
        <w:u w:val="single" w:color="0000ff"/>
      </w:rPr>
    </w:lvl>
    <w:lvl w:ilvl="5">
      <w:start w:val="1"/>
      <w:numFmt w:val="bullet"/>
      <w:suff w:val="tab"/>
      <w:lvlText w:val="•"/>
      <w:lvlJc w:val="left"/>
      <w:pPr/>
      <w:rPr>
        <w:color w:val="0000ff"/>
        <w:position w:val="0"/>
        <w:u w:val="single" w:color="0000ff"/>
      </w:rPr>
    </w:lvl>
    <w:lvl w:ilvl="6">
      <w:start w:val="1"/>
      <w:numFmt w:val="bullet"/>
      <w:suff w:val="tab"/>
      <w:lvlText w:val="•"/>
      <w:lvlJc w:val="left"/>
      <w:pPr/>
      <w:rPr>
        <w:color w:val="0000ff"/>
        <w:position w:val="0"/>
        <w:u w:val="single" w:color="0000ff"/>
      </w:rPr>
    </w:lvl>
    <w:lvl w:ilvl="7">
      <w:start w:val="1"/>
      <w:numFmt w:val="bullet"/>
      <w:suff w:val="tab"/>
      <w:lvlText w:val="•"/>
      <w:lvlJc w:val="left"/>
      <w:pPr/>
      <w:rPr>
        <w:color w:val="0000ff"/>
        <w:position w:val="0"/>
        <w:u w:val="single" w:color="0000ff"/>
      </w:rPr>
    </w:lvl>
    <w:lvl w:ilvl="8">
      <w:start w:val="1"/>
      <w:numFmt w:val="bullet"/>
      <w:suff w:val="tab"/>
      <w:lvlText w:val="•"/>
      <w:lvlJc w:val="left"/>
      <w:pPr/>
      <w:rPr>
        <w:color w:val="0000ff"/>
        <w:position w:val="0"/>
        <w:u w:val="single" w:color="0000ff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/>
      <w:rPr>
        <w:color w:val="000000"/>
        <w:position w:val="0"/>
        <w:u w:val="none"/>
      </w:rPr>
    </w:lvl>
    <w:lvl w:ilvl="1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2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3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4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5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6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7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  <w:lvl w:ilvl="8">
      <w:start w:val="1"/>
      <w:numFmt w:val="bullet"/>
      <w:suff w:val="tab"/>
      <w:lvlText w:val="•"/>
      <w:lvlJc w:val="left"/>
      <w:pPr/>
      <w:rPr>
        <w:color w:val="000000"/>
        <w:position w:val="0"/>
        <w:u w:val="none"/>
      </w:rPr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446"/>
          <w:tab w:val="clear" w:pos="0"/>
        </w:tabs>
        <w:ind w:left="446" w:hanging="346"/>
      </w:pPr>
      <w:rPr>
        <w:position w:val="0"/>
        <w:sz w:val="16"/>
        <w:szCs w:val="16"/>
      </w:rPr>
    </w:lvl>
    <w:lvl w:ilvl="1">
      <w:start w:val="1"/>
      <w:numFmt w:val="bullet"/>
      <w:suff w:val="tab"/>
      <w:lvlText w:val="•"/>
      <w:lvlJc w:val="left"/>
      <w:pPr>
        <w:tabs>
          <w:tab w:val="num" w:pos="782"/>
          <w:tab w:val="clear" w:pos="0"/>
        </w:tabs>
        <w:ind w:left="782" w:hanging="189"/>
      </w:pPr>
      <w:rPr>
        <w:position w:val="0"/>
        <w:sz w:val="16"/>
        <w:szCs w:val="16"/>
      </w:rPr>
    </w:lvl>
    <w:lvl w:ilvl="2">
      <w:start w:val="1"/>
      <w:numFmt w:val="bullet"/>
      <w:suff w:val="tab"/>
      <w:lvlText w:val="•"/>
      <w:lvlJc w:val="left"/>
      <w:pPr>
        <w:tabs>
          <w:tab w:val="num" w:pos="1279"/>
          <w:tab w:val="clear" w:pos="0"/>
        </w:tabs>
        <w:ind w:left="1279" w:hanging="189"/>
      </w:pPr>
      <w:rPr>
        <w:position w:val="0"/>
        <w:sz w:val="16"/>
        <w:szCs w:val="16"/>
      </w:rPr>
    </w:lvl>
    <w:lvl w:ilvl="3">
      <w:start w:val="1"/>
      <w:numFmt w:val="bullet"/>
      <w:suff w:val="tab"/>
      <w:lvlText w:val="•"/>
      <w:lvlJc w:val="left"/>
      <w:pPr>
        <w:tabs>
          <w:tab w:val="num" w:pos="1776"/>
          <w:tab w:val="clear" w:pos="0"/>
        </w:tabs>
        <w:ind w:left="1776" w:hanging="189"/>
      </w:pPr>
      <w:rPr>
        <w:position w:val="0"/>
        <w:sz w:val="16"/>
        <w:szCs w:val="16"/>
      </w:rPr>
    </w:lvl>
    <w:lvl w:ilvl="4">
      <w:start w:val="1"/>
      <w:numFmt w:val="bullet"/>
      <w:suff w:val="tab"/>
      <w:lvlText w:val="•"/>
      <w:lvlJc w:val="left"/>
      <w:pPr>
        <w:tabs>
          <w:tab w:val="num" w:pos="2274"/>
          <w:tab w:val="clear" w:pos="0"/>
        </w:tabs>
        <w:ind w:left="2274" w:hanging="189"/>
      </w:pPr>
      <w:rPr>
        <w:position w:val="0"/>
        <w:sz w:val="16"/>
        <w:szCs w:val="16"/>
      </w:rPr>
    </w:lvl>
    <w:lvl w:ilvl="5">
      <w:start w:val="1"/>
      <w:numFmt w:val="bullet"/>
      <w:suff w:val="tab"/>
      <w:lvlText w:val="•"/>
      <w:lvlJc w:val="left"/>
      <w:pPr>
        <w:tabs>
          <w:tab w:val="num" w:pos="2771"/>
          <w:tab w:val="clear" w:pos="0"/>
        </w:tabs>
        <w:ind w:left="2771" w:hanging="189"/>
      </w:pPr>
      <w:rPr>
        <w:position w:val="0"/>
        <w:sz w:val="16"/>
        <w:szCs w:val="16"/>
      </w:rPr>
    </w:lvl>
    <w:lvl w:ilvl="6">
      <w:start w:val="1"/>
      <w:numFmt w:val="bullet"/>
      <w:suff w:val="tab"/>
      <w:lvlText w:val="•"/>
      <w:lvlJc w:val="left"/>
      <w:pPr>
        <w:tabs>
          <w:tab w:val="num" w:pos="3268"/>
          <w:tab w:val="clear" w:pos="0"/>
        </w:tabs>
        <w:ind w:left="3268" w:hanging="189"/>
      </w:pPr>
      <w:rPr>
        <w:position w:val="0"/>
        <w:sz w:val="16"/>
        <w:szCs w:val="16"/>
      </w:rPr>
    </w:lvl>
    <w:lvl w:ilvl="7">
      <w:start w:val="1"/>
      <w:numFmt w:val="bullet"/>
      <w:suff w:val="tab"/>
      <w:lvlText w:val="•"/>
      <w:lvlJc w:val="left"/>
      <w:pPr>
        <w:tabs>
          <w:tab w:val="num" w:pos="3765"/>
          <w:tab w:val="clear" w:pos="0"/>
        </w:tabs>
        <w:ind w:left="3765" w:hanging="189"/>
      </w:pPr>
      <w:rPr>
        <w:position w:val="0"/>
        <w:sz w:val="16"/>
        <w:szCs w:val="16"/>
      </w:rPr>
    </w:lvl>
    <w:lvl w:ilvl="8">
      <w:start w:val="1"/>
      <w:numFmt w:val="bullet"/>
      <w:suff w:val="tab"/>
      <w:lvlText w:val="•"/>
      <w:lvlJc w:val="left"/>
      <w:pPr>
        <w:tabs>
          <w:tab w:val="num" w:pos="4263"/>
          <w:tab w:val="clear" w:pos="0"/>
        </w:tabs>
        <w:ind w:left="4263" w:hanging="189"/>
      </w:pPr>
      <w:rPr>
        <w:position w:val="0"/>
        <w:sz w:val="16"/>
        <w:szCs w:val="16"/>
      </w:rPr>
    </w:lvl>
  </w:abstractNum>
  <w:abstractNum w:abstractNumId="4">
    <w:multiLevelType w:val="multilevel"/>
    <w:styleLink w:val="List 1"/>
    <w:lvl w:ilvl="0">
      <w:start w:val="2"/>
      <w:numFmt w:val="decimal"/>
      <w:suff w:val="tab"/>
      <w:lvlText w:val="%1."/>
      <w:lvlJc w:val="left"/>
      <w:pPr>
        <w:tabs>
          <w:tab w:val="num" w:pos="446"/>
          <w:tab w:val="clear" w:pos="0"/>
        </w:tabs>
        <w:ind w:left="446" w:hanging="346"/>
      </w:pPr>
      <w:rPr>
        <w:position w:val="0"/>
        <w:sz w:val="16"/>
        <w:szCs w:val="16"/>
      </w:rPr>
    </w:lvl>
    <w:lvl w:ilvl="1">
      <w:start w:val="1"/>
      <w:numFmt w:val="bullet"/>
      <w:suff w:val="tab"/>
      <w:lvlText w:val="•"/>
      <w:lvlJc w:val="left"/>
      <w:pPr>
        <w:tabs>
          <w:tab w:val="num" w:pos="782"/>
          <w:tab w:val="clear" w:pos="0"/>
        </w:tabs>
        <w:ind w:left="782" w:hanging="189"/>
      </w:pPr>
      <w:rPr>
        <w:position w:val="0"/>
        <w:sz w:val="16"/>
        <w:szCs w:val="16"/>
      </w:rPr>
    </w:lvl>
    <w:lvl w:ilvl="2">
      <w:start w:val="1"/>
      <w:numFmt w:val="bullet"/>
      <w:suff w:val="tab"/>
      <w:lvlText w:val="•"/>
      <w:lvlJc w:val="left"/>
      <w:pPr>
        <w:tabs>
          <w:tab w:val="num" w:pos="1279"/>
          <w:tab w:val="clear" w:pos="0"/>
        </w:tabs>
        <w:ind w:left="1279" w:hanging="189"/>
      </w:pPr>
      <w:rPr>
        <w:position w:val="0"/>
        <w:sz w:val="16"/>
        <w:szCs w:val="16"/>
      </w:rPr>
    </w:lvl>
    <w:lvl w:ilvl="3">
      <w:start w:val="1"/>
      <w:numFmt w:val="bullet"/>
      <w:suff w:val="tab"/>
      <w:lvlText w:val="•"/>
      <w:lvlJc w:val="left"/>
      <w:pPr>
        <w:tabs>
          <w:tab w:val="num" w:pos="1776"/>
          <w:tab w:val="clear" w:pos="0"/>
        </w:tabs>
        <w:ind w:left="1776" w:hanging="189"/>
      </w:pPr>
      <w:rPr>
        <w:position w:val="0"/>
        <w:sz w:val="16"/>
        <w:szCs w:val="16"/>
      </w:rPr>
    </w:lvl>
    <w:lvl w:ilvl="4">
      <w:start w:val="1"/>
      <w:numFmt w:val="bullet"/>
      <w:suff w:val="tab"/>
      <w:lvlText w:val="•"/>
      <w:lvlJc w:val="left"/>
      <w:pPr>
        <w:tabs>
          <w:tab w:val="num" w:pos="2274"/>
          <w:tab w:val="clear" w:pos="0"/>
        </w:tabs>
        <w:ind w:left="2274" w:hanging="189"/>
      </w:pPr>
      <w:rPr>
        <w:position w:val="0"/>
        <w:sz w:val="16"/>
        <w:szCs w:val="16"/>
      </w:rPr>
    </w:lvl>
    <w:lvl w:ilvl="5">
      <w:start w:val="1"/>
      <w:numFmt w:val="bullet"/>
      <w:suff w:val="tab"/>
      <w:lvlText w:val="•"/>
      <w:lvlJc w:val="left"/>
      <w:pPr>
        <w:tabs>
          <w:tab w:val="num" w:pos="2771"/>
          <w:tab w:val="clear" w:pos="0"/>
        </w:tabs>
        <w:ind w:left="2771" w:hanging="189"/>
      </w:pPr>
      <w:rPr>
        <w:position w:val="0"/>
        <w:sz w:val="16"/>
        <w:szCs w:val="16"/>
      </w:rPr>
    </w:lvl>
    <w:lvl w:ilvl="6">
      <w:start w:val="1"/>
      <w:numFmt w:val="bullet"/>
      <w:suff w:val="tab"/>
      <w:lvlText w:val="•"/>
      <w:lvlJc w:val="left"/>
      <w:pPr>
        <w:tabs>
          <w:tab w:val="num" w:pos="3268"/>
          <w:tab w:val="clear" w:pos="0"/>
        </w:tabs>
        <w:ind w:left="3268" w:hanging="189"/>
      </w:pPr>
      <w:rPr>
        <w:position w:val="0"/>
        <w:sz w:val="16"/>
        <w:szCs w:val="16"/>
      </w:rPr>
    </w:lvl>
    <w:lvl w:ilvl="7">
      <w:start w:val="1"/>
      <w:numFmt w:val="bullet"/>
      <w:suff w:val="tab"/>
      <w:lvlText w:val="•"/>
      <w:lvlJc w:val="left"/>
      <w:pPr>
        <w:tabs>
          <w:tab w:val="num" w:pos="3765"/>
          <w:tab w:val="clear" w:pos="0"/>
        </w:tabs>
        <w:ind w:left="3765" w:hanging="189"/>
      </w:pPr>
      <w:rPr>
        <w:position w:val="0"/>
        <w:sz w:val="16"/>
        <w:szCs w:val="16"/>
      </w:rPr>
    </w:lvl>
    <w:lvl w:ilvl="8">
      <w:start w:val="1"/>
      <w:numFmt w:val="bullet"/>
      <w:suff w:val="tab"/>
      <w:lvlText w:val="•"/>
      <w:lvlJc w:val="left"/>
      <w:pPr>
        <w:tabs>
          <w:tab w:val="num" w:pos="4263"/>
          <w:tab w:val="clear" w:pos="0"/>
        </w:tabs>
        <w:ind w:left="4263" w:hanging="189"/>
      </w:pPr>
      <w:rPr>
        <w:position w:val="0"/>
        <w:sz w:val="16"/>
        <w:szCs w:val="16"/>
      </w:rPr>
    </w:lvl>
  </w:abstractNum>
  <w:abstractNum w:abstractNumId="5">
    <w:multiLevelType w:val="multilevel"/>
    <w:styleLink w:val="List 0"/>
    <w:lvl w:ilvl="0">
      <w:start w:val="4"/>
      <w:numFmt w:val="decimal"/>
      <w:suff w:val="tab"/>
      <w:lvlText w:val="%1."/>
      <w:lvlJc w:val="left"/>
      <w:pPr>
        <w:tabs>
          <w:tab w:val="num" w:pos="446"/>
          <w:tab w:val="clear" w:pos="0"/>
        </w:tabs>
        <w:ind w:left="446" w:hanging="346"/>
      </w:pPr>
      <w:rPr>
        <w:position w:val="0"/>
        <w:sz w:val="16"/>
        <w:szCs w:val="16"/>
      </w:rPr>
    </w:lvl>
    <w:lvl w:ilvl="1">
      <w:start w:val="1"/>
      <w:numFmt w:val="bullet"/>
      <w:suff w:val="tab"/>
      <w:lvlText w:val="•"/>
      <w:lvlJc w:val="left"/>
      <w:pPr>
        <w:tabs>
          <w:tab w:val="num" w:pos="782"/>
          <w:tab w:val="clear" w:pos="0"/>
        </w:tabs>
        <w:ind w:left="782" w:hanging="189"/>
      </w:pPr>
      <w:rPr>
        <w:position w:val="0"/>
        <w:sz w:val="16"/>
        <w:szCs w:val="16"/>
      </w:rPr>
    </w:lvl>
    <w:lvl w:ilvl="2">
      <w:start w:val="1"/>
      <w:numFmt w:val="bullet"/>
      <w:suff w:val="tab"/>
      <w:lvlText w:val="•"/>
      <w:lvlJc w:val="left"/>
      <w:pPr>
        <w:tabs>
          <w:tab w:val="num" w:pos="1279"/>
          <w:tab w:val="clear" w:pos="0"/>
        </w:tabs>
        <w:ind w:left="1279" w:hanging="189"/>
      </w:pPr>
      <w:rPr>
        <w:position w:val="0"/>
        <w:sz w:val="16"/>
        <w:szCs w:val="16"/>
      </w:rPr>
    </w:lvl>
    <w:lvl w:ilvl="3">
      <w:start w:val="1"/>
      <w:numFmt w:val="bullet"/>
      <w:suff w:val="tab"/>
      <w:lvlText w:val="•"/>
      <w:lvlJc w:val="left"/>
      <w:pPr>
        <w:tabs>
          <w:tab w:val="num" w:pos="1776"/>
          <w:tab w:val="clear" w:pos="0"/>
        </w:tabs>
        <w:ind w:left="1776" w:hanging="189"/>
      </w:pPr>
      <w:rPr>
        <w:position w:val="0"/>
        <w:sz w:val="16"/>
        <w:szCs w:val="16"/>
      </w:rPr>
    </w:lvl>
    <w:lvl w:ilvl="4">
      <w:start w:val="1"/>
      <w:numFmt w:val="bullet"/>
      <w:suff w:val="tab"/>
      <w:lvlText w:val="•"/>
      <w:lvlJc w:val="left"/>
      <w:pPr>
        <w:tabs>
          <w:tab w:val="num" w:pos="2274"/>
          <w:tab w:val="clear" w:pos="0"/>
        </w:tabs>
        <w:ind w:left="2274" w:hanging="189"/>
      </w:pPr>
      <w:rPr>
        <w:position w:val="0"/>
        <w:sz w:val="16"/>
        <w:szCs w:val="16"/>
      </w:rPr>
    </w:lvl>
    <w:lvl w:ilvl="5">
      <w:start w:val="1"/>
      <w:numFmt w:val="bullet"/>
      <w:suff w:val="tab"/>
      <w:lvlText w:val="•"/>
      <w:lvlJc w:val="left"/>
      <w:pPr>
        <w:tabs>
          <w:tab w:val="num" w:pos="2771"/>
          <w:tab w:val="clear" w:pos="0"/>
        </w:tabs>
        <w:ind w:left="2771" w:hanging="189"/>
      </w:pPr>
      <w:rPr>
        <w:position w:val="0"/>
        <w:sz w:val="16"/>
        <w:szCs w:val="16"/>
      </w:rPr>
    </w:lvl>
    <w:lvl w:ilvl="6">
      <w:start w:val="1"/>
      <w:numFmt w:val="bullet"/>
      <w:suff w:val="tab"/>
      <w:lvlText w:val="•"/>
      <w:lvlJc w:val="left"/>
      <w:pPr>
        <w:tabs>
          <w:tab w:val="num" w:pos="3268"/>
          <w:tab w:val="clear" w:pos="0"/>
        </w:tabs>
        <w:ind w:left="3268" w:hanging="189"/>
      </w:pPr>
      <w:rPr>
        <w:position w:val="0"/>
        <w:sz w:val="16"/>
        <w:szCs w:val="16"/>
      </w:rPr>
    </w:lvl>
    <w:lvl w:ilvl="7">
      <w:start w:val="1"/>
      <w:numFmt w:val="bullet"/>
      <w:suff w:val="tab"/>
      <w:lvlText w:val="•"/>
      <w:lvlJc w:val="left"/>
      <w:pPr>
        <w:tabs>
          <w:tab w:val="num" w:pos="3765"/>
          <w:tab w:val="clear" w:pos="0"/>
        </w:tabs>
        <w:ind w:left="3765" w:hanging="189"/>
      </w:pPr>
      <w:rPr>
        <w:position w:val="0"/>
        <w:sz w:val="16"/>
        <w:szCs w:val="16"/>
      </w:rPr>
    </w:lvl>
    <w:lvl w:ilvl="8">
      <w:start w:val="1"/>
      <w:numFmt w:val="bullet"/>
      <w:suff w:val="tab"/>
      <w:lvlText w:val="•"/>
      <w:lvlJc w:val="left"/>
      <w:pPr>
        <w:tabs>
          <w:tab w:val="num" w:pos="4263"/>
          <w:tab w:val="clear" w:pos="0"/>
        </w:tabs>
        <w:ind w:left="4263" w:hanging="189"/>
      </w:pPr>
      <w:rPr>
        <w:position w:val="0"/>
        <w:sz w:val="16"/>
        <w:szCs w:val="16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color w:val="ffffff"/>
      <w:sz w:val="14"/>
      <w:szCs w:val="14"/>
      <w:u w:color="ffffff"/>
    </w:r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47" w:after="0" w:line="400" w:lineRule="exact"/>
      <w:ind w:left="100" w:right="0" w:firstLine="0"/>
      <w:jc w:val="left"/>
      <w:outlineLvl w:val="0"/>
    </w:pPr>
    <w:rPr>
      <w:rFonts w:ascii="Minion Pro" w:cs="Minion Pro" w:hAnsi="Minion Pro" w:eastAsia="Minion Pro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vertAlign w:val="baseline"/>
      <w:lang w:val="en-US"/>
    </w:rPr>
  </w:style>
  <w:style w:type="paragraph" w:styleId="Heading 3">
    <w:name w:val="Heading 3"/>
    <w:next w:val="Heading 3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2"/>
    </w:pPr>
    <w:rPr>
      <w:rFonts w:ascii="Arial" w:cs="Arial Unicode MS" w:hAnsi="Arial Unicode MS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character" w:styleId="Link">
    <w:name w:val="Link"/>
    <w:rPr>
      <w:color w:val="0000ff"/>
      <w:u w:val="single" w:color="0000ff"/>
    </w:rPr>
  </w:style>
  <w:style w:type="character" w:styleId="Hyperlink.1">
    <w:name w:val="Hyperlink.1"/>
    <w:basedOn w:val="Link"/>
    <w:next w:val="Hyperlink.1"/>
    <w:rPr>
      <w:color w:val="000000"/>
      <w:u w:val="no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90" w:after="0" w:line="200" w:lineRule="exact"/>
      <w:ind w:left="383" w:right="0" w:hanging="283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numbering" w:styleId="List 1">
    <w:name w:val="List 1"/>
    <w:basedOn w:val="Imported Style 1"/>
    <w:next w:val="List 1"/>
    <w:pPr>
      <w:numPr>
        <w:numId w:val="4"/>
      </w:numPr>
    </w:pPr>
  </w:style>
  <w:style w:type="character" w:styleId="Hyperlink.2">
    <w:name w:val="Hyperlink.2"/>
    <w:basedOn w:val="Hyperlink"/>
    <w:next w:val="Hyperlink.2"/>
    <w:rPr/>
  </w:style>
  <w:style w:type="character" w:styleId="Hyperlink.3">
    <w:name w:val="Hyperlink.3"/>
    <w:basedOn w:val="Hyperlink"/>
    <w:next w:val="Hyperlink.3"/>
    <w:rPr/>
  </w:style>
  <w:style w:type="character" w:styleId="Hyperlink.4">
    <w:name w:val="Hyperlink.4"/>
    <w:basedOn w:val="Hyperlink"/>
    <w:next w:val="Hyperlink.4"/>
    <w:rPr/>
  </w:style>
  <w:style w:type="character" w:styleId="Hyperlink.5">
    <w:name w:val="Hyperlink.5"/>
    <w:basedOn w:val="Hyperlink"/>
    <w:next w:val="Hyperlink.5"/>
    <w:rPr/>
  </w:style>
  <w:style w:type="character" w:styleId="Hyperlink.6">
    <w:name w:val="Hyperlink.6"/>
    <w:basedOn w:val="Hyperlink"/>
    <w:next w:val="Hyperlink.6"/>
    <w:rPr/>
  </w:style>
  <w:style w:type="character" w:styleId="Hyperlink.7">
    <w:name w:val="Hyperlink.7"/>
    <w:basedOn w:val="Hyperlink"/>
    <w:next w:val="Hyperlink.7"/>
    <w:rPr/>
  </w:style>
  <w:style w:type="character" w:styleId="Hyperlink.8">
    <w:name w:val="Hyperlink.8"/>
    <w:basedOn w:val="Hyperlink"/>
    <w:next w:val="Hyperlink.8"/>
    <w:rPr/>
  </w:style>
  <w:style w:type="character" w:styleId="Hyperlink.9">
    <w:name w:val="Hyperlink.9"/>
    <w:basedOn w:val="Hyperlink"/>
    <w:next w:val="Hyperlink.9"/>
    <w:rPr/>
  </w:style>
  <w:style w:type="character" w:styleId="Hyperlink.10">
    <w:name w:val="Hyperlink.10"/>
    <w:basedOn w:val="Hyperlink"/>
    <w:next w:val="Hyperlink.10"/>
    <w:rPr/>
  </w:style>
  <w:style w:type="character" w:styleId="Hyperlink.11">
    <w:name w:val="Hyperlink.11"/>
    <w:basedOn w:val="Hyperlink"/>
    <w:next w:val="Hyperlink.11"/>
    <w:rPr/>
  </w:style>
  <w:style w:type="character" w:styleId="Hyperlink.12">
    <w:name w:val="Hyperlink.12"/>
    <w:basedOn w:val="Hyperlink"/>
    <w:next w:val="Hyperlink.12"/>
    <w:rPr/>
  </w:style>
  <w:style w:type="character" w:styleId="Hyperlink.13">
    <w:name w:val="Hyperlink.13"/>
    <w:basedOn w:val="Hyperlink"/>
    <w:next w:val="Hyperlink.13"/>
    <w:rPr/>
  </w:style>
  <w:style w:type="character" w:styleId="Hyperlink.14">
    <w:name w:val="Hyperlink.14"/>
    <w:basedOn w:val="Hyperlink"/>
    <w:next w:val="Hyperlink.14"/>
    <w:rPr/>
  </w:style>
  <w:style w:type="character" w:styleId="Hyperlink.15">
    <w:name w:val="Hyperlink.15"/>
    <w:basedOn w:val="Hyperlink"/>
    <w:next w:val="Hyperlink.15"/>
    <w:rPr/>
  </w:style>
  <w:style w:type="character" w:styleId="Hyperlink.16">
    <w:name w:val="Hyperlink.16"/>
    <w:basedOn w:val="Hyperlink"/>
    <w:next w:val="Hyperlink.16"/>
    <w:rPr/>
  </w:style>
  <w:style w:type="character" w:styleId="Hyperlink.17">
    <w:name w:val="Hyperlink.17"/>
    <w:basedOn w:val="Hyperlink"/>
    <w:next w:val="Hyperlink.17"/>
    <w:rPr/>
  </w:style>
  <w:style w:type="character" w:styleId="Hyperlink.18">
    <w:name w:val="Hyperlink.18"/>
    <w:basedOn w:val="Hyperlink"/>
    <w:next w:val="Hyperlink.18"/>
    <w:rPr/>
  </w:style>
  <w:style w:type="character" w:styleId="Hyperlink.19">
    <w:name w:val="Hyperlink.19"/>
    <w:basedOn w:val="Hyperlink"/>
    <w:next w:val="Hyperlink.19"/>
    <w:rPr/>
  </w:style>
  <w:style w:type="character" w:styleId="Hyperlink.20">
    <w:name w:val="Hyperlink.20"/>
    <w:basedOn w:val="Hyperlink"/>
    <w:next w:val="Hyperlink.20"/>
    <w:rPr/>
  </w:style>
  <w:style w:type="character" w:styleId="Hyperlink.21">
    <w:name w:val="Hyperlink.21"/>
    <w:basedOn w:val="Hyperlink"/>
    <w:next w:val="Hyperlink.21"/>
    <w:rPr/>
  </w:style>
  <w:style w:type="character" w:styleId="Hyperlink.22">
    <w:name w:val="Hyperlink.22"/>
    <w:basedOn w:val="Hyperlink"/>
    <w:next w:val="Hyperlink.22"/>
    <w:rPr/>
  </w:style>
  <w:style w:type="character" w:styleId="Hyperlink.23">
    <w:name w:val="Hyperlink.23"/>
    <w:basedOn w:val="Hyperlink"/>
    <w:next w:val="Hyperlink.23"/>
    <w:rPr/>
  </w:style>
  <w:style w:type="character" w:styleId="Hyperlink.24">
    <w:name w:val="Hyperlink.24"/>
    <w:basedOn w:val="Hyperlink"/>
    <w:next w:val="Hyperlink.24"/>
    <w:rPr/>
  </w:style>
  <w:style w:type="character" w:styleId="Hyperlink.25">
    <w:name w:val="Hyperlink.25"/>
    <w:basedOn w:val="Hyperlink"/>
    <w:next w:val="Hyperlink.25"/>
    <w:rPr/>
  </w:style>
  <w:style w:type="character" w:styleId="Hyperlink.26">
    <w:name w:val="Hyperlink.26"/>
    <w:basedOn w:val="Hyperlink"/>
    <w:next w:val="Hyperlink.26"/>
    <w:rPr/>
  </w:style>
  <w:style w:type="character" w:styleId="Hyperlink.27">
    <w:name w:val="Hyperlink.27"/>
    <w:basedOn w:val="Hyperlink"/>
    <w:next w:val="Hyperlink.27"/>
    <w:rPr/>
  </w:style>
  <w:style w:type="character" w:styleId="Hyperlink.28">
    <w:name w:val="Hyperlink.28"/>
    <w:basedOn w:val="Hyperlink"/>
    <w:next w:val="Hyperlink.28"/>
    <w:rPr/>
  </w:style>
  <w:style w:type="character" w:styleId="Hyperlink.29">
    <w:name w:val="Hyperlink.29"/>
    <w:basedOn w:val="Hyperlink"/>
    <w:next w:val="Hyperlink.29"/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yperlink" Target="https://www.ncbi.nlm.nih.gov/pubmed/?term=K%C3%BChn%20M%5BAuthor%5D&amp;cauthor=true&amp;cauthor_uid=27158436" TargetMode="External"/><Relationship Id="rId7" Type="http://schemas.openxmlformats.org/officeDocument/2006/relationships/hyperlink" Target="https://www.ncbi.nlm.nih.gov/pubmed/?term=Sammartin%20K%5BAuthor%5D&amp;cauthor=true&amp;cauthor_uid=27158436" TargetMode="External"/><Relationship Id="rId8" Type="http://schemas.openxmlformats.org/officeDocument/2006/relationships/hyperlink" Target="https://www.ncbi.nlm.nih.gov/pubmed/?term=Nabergoj%20M%5BAuthor%5D&amp;cauthor=true&amp;cauthor_uid=27158436" TargetMode="External"/><Relationship Id="rId9" Type="http://schemas.openxmlformats.org/officeDocument/2006/relationships/hyperlink" Target="https://www.ncbi.nlm.nih.gov/pubmed/?term=Vianello%20F%5BAuthor%5D&amp;cauthor=true&amp;cauthor_uid=27158436" TargetMode="External"/><Relationship Id="rId10" Type="http://schemas.openxmlformats.org/officeDocument/2006/relationships/hyperlink" Target="https://www.ncbi.nlm.nih.gov/pubmed/?term=Waxman%20S%5BAuthor%5D&amp;cauthor=true&amp;cauthor_uid=11331434" TargetMode="External"/><Relationship Id="rId11" Type="http://schemas.openxmlformats.org/officeDocument/2006/relationships/hyperlink" Target="https://www.ncbi.nlm.nih.gov/pubmed/?term=Anderson%20KC%5BAuthor%5D&amp;cauthor=true&amp;cauthor_uid=11331434" TargetMode="External"/><Relationship Id="rId12" Type="http://schemas.openxmlformats.org/officeDocument/2006/relationships/hyperlink" Target="https://www.ncbi.nlm.nih.gov/pubmed/?term=Lazo%20G%5BAuthor%5D&amp;cauthor=true&amp;cauthor_uid=12712474" TargetMode="External"/><Relationship Id="rId13" Type="http://schemas.openxmlformats.org/officeDocument/2006/relationships/hyperlink" Target="https://www.ncbi.nlm.nih.gov/pubmed/?term=Kantarjian%20H%5BAuthor%5D&amp;cauthor=true&amp;cauthor_uid=12712474" TargetMode="External"/><Relationship Id="rId14" Type="http://schemas.openxmlformats.org/officeDocument/2006/relationships/hyperlink" Target="https://www.ncbi.nlm.nih.gov/pubmed/?term=Estey%20E%5BAuthor%5D&amp;cauthor=true&amp;cauthor_uid=12712474" TargetMode="External"/><Relationship Id="rId15" Type="http://schemas.openxmlformats.org/officeDocument/2006/relationships/hyperlink" Target="https://www.ncbi.nlm.nih.gov/pubmed/?term=Thomas%20D%5BAuthor%5D&amp;cauthor=true&amp;cauthor_uid=12712474" TargetMode="External"/><Relationship Id="rId16" Type="http://schemas.openxmlformats.org/officeDocument/2006/relationships/hyperlink" Target="https://www.ncbi.nlm.nih.gov/pubmed/?term=O'Brien%20S%5BAuthor%5D&amp;cauthor=true&amp;cauthor_uid=12712474" TargetMode="External"/><Relationship Id="rId17" Type="http://schemas.openxmlformats.org/officeDocument/2006/relationships/hyperlink" Target="https://www.ncbi.nlm.nih.gov/pubmed/?term=Cortes%20J%5BAuthor%5D&amp;cauthor=true&amp;cauthor_uid=12712474" TargetMode="External"/><Relationship Id="rId18" Type="http://schemas.openxmlformats.org/officeDocument/2006/relationships/hyperlink" Target="https://www.ncbi.nlm.nih.gov/pubmed/?term=Mukherjee%20SC%5BAuthor%5D&amp;cauthor=true&amp;cauthor_uid=12635825" TargetMode="External"/><Relationship Id="rId19" Type="http://schemas.openxmlformats.org/officeDocument/2006/relationships/hyperlink" Target="https://www.ncbi.nlm.nih.gov/pubmed/?term=Rahman%20MM%5BAuthor%5D&amp;cauthor=true&amp;cauthor_uid=12635825" TargetMode="External"/><Relationship Id="rId20" Type="http://schemas.openxmlformats.org/officeDocument/2006/relationships/hyperlink" Target="https://www.ncbi.nlm.nih.gov/pubmed/?term=Chowdhury%20UK%5BAuthor%5D&amp;cauthor=true&amp;cauthor_uid=12635825" TargetMode="External"/><Relationship Id="rId21" Type="http://schemas.openxmlformats.org/officeDocument/2006/relationships/hyperlink" Target="https://www.ncbi.nlm.nih.gov/pubmed/?term=Sengupta%20MK%5BAuthor%5D&amp;cauthor=true&amp;cauthor_uid=12635825" TargetMode="External"/><Relationship Id="rId22" Type="http://schemas.openxmlformats.org/officeDocument/2006/relationships/hyperlink" Target="https://www.ncbi.nlm.nih.gov/pubmed/?term=Lodh%20D%5BAuthor%5D&amp;cauthor=true&amp;cauthor_uid=12635825" TargetMode="External"/><Relationship Id="rId23" Type="http://schemas.openxmlformats.org/officeDocument/2006/relationships/hyperlink" Target="https://www.ncbi.nlm.nih.gov/pubmed/?term=Chanda%20CR%5BAuthor%5D&amp;cauthor=true&amp;cauthor_uid=12635825" TargetMode="External"/><Relationship Id="rId24" Type="http://schemas.openxmlformats.org/officeDocument/2006/relationships/hyperlink" Target="https://www.ncbi.nlm.nih.gov/pubmed/?term=Saha%20KC%5BAuthor%5D&amp;cauthor=true&amp;cauthor_uid=12635825" TargetMode="External"/><Relationship Id="rId25" Type="http://schemas.openxmlformats.org/officeDocument/2006/relationships/hyperlink" Target="https://www.ncbi.nlm.nih.gov/pubmed/?term=Chakraborti%20D%5BAuthor%5D&amp;cauthor=true&amp;cauthor_uid=12635825" TargetMode="External"/><Relationship Id="rId26" Type="http://schemas.openxmlformats.org/officeDocument/2006/relationships/hyperlink" Target="https://www.ncbi.nlm.nih.gov/pubmed/?term=Ohnishi%20K%5BAuthor%5D&amp;cauthor=true&amp;cauthor_uid=11960341" TargetMode="External"/><Relationship Id="rId27" Type="http://schemas.openxmlformats.org/officeDocument/2006/relationships/hyperlink" Target="https://www.ncbi.nlm.nih.gov/pubmed/?term=Yoshida%20H%5BAuthor%5D&amp;cauthor=true&amp;cauthor_uid=11960341" TargetMode="External"/><Relationship Id="rId28" Type="http://schemas.openxmlformats.org/officeDocument/2006/relationships/hyperlink" Target="https://www.ncbi.nlm.nih.gov/pubmed/?term=Shigeno%20K%5BAuthor%5D&amp;cauthor=true&amp;cauthor_uid=11960341" TargetMode="External"/><Relationship Id="rId29" Type="http://schemas.openxmlformats.org/officeDocument/2006/relationships/hyperlink" Target="https://www.ncbi.nlm.nih.gov/pubmed/?term=Nakamura%20S%5BAuthor%5D&amp;cauthor=true&amp;cauthor_uid=11960341" TargetMode="External"/><Relationship Id="rId30" Type="http://schemas.openxmlformats.org/officeDocument/2006/relationships/hyperlink" Target="https://www.ncbi.nlm.nih.gov/pubmed/?term=Fujisawa%20S%5BAuthor%5D&amp;cauthor=true&amp;cauthor_uid=11960341" TargetMode="External"/><Relationship Id="rId31" Type="http://schemas.openxmlformats.org/officeDocument/2006/relationships/hyperlink" Target="https://www.ncbi.nlm.nih.gov/pubmed/?term=Naito%20K%5BAuthor%5D&amp;cauthor=true&amp;cauthor_uid=11960341" TargetMode="External"/><Relationship Id="rId32" Type="http://schemas.openxmlformats.org/officeDocument/2006/relationships/hyperlink" Target="https://www.ncbi.nlm.nih.gov/pubmed/?term=Shinjo%20K%5BAuthor%5D&amp;cauthor=true&amp;cauthor_uid=11960341" TargetMode="External"/><Relationship Id="rId33" Type="http://schemas.openxmlformats.org/officeDocument/2006/relationships/hyperlink" Target="https://www.ncbi.nlm.nih.gov/pubmed/?term=Fujita%20Y%5BAuthor%5D&amp;cauthor=true&amp;cauthor_uid=11960341" TargetMode="External"/><Relationship Id="rId34" Type="http://schemas.openxmlformats.org/officeDocument/2006/relationships/hyperlink" Target="https://www.ncbi.nlm.nih.gov/pubmed/?term=Matsui%20H%5BAuthor%5D&amp;cauthor=true&amp;cauthor_uid=11960341" TargetMode="External"/><Relationship Id="rId35" Type="http://schemas.openxmlformats.org/officeDocument/2006/relationships/hyperlink" Target="https://www.ncbi.nlm.nih.gov/pubmed/?term=Sahara%20N%5BAuthor%5D&amp;cauthor=true&amp;cauthor_uid=11960341" TargetMode="External"/><Relationship Id="rId36" Type="http://schemas.openxmlformats.org/officeDocument/2006/relationships/hyperlink" Target="https://www.ncbi.nlm.nih.gov/pubmed/?term=Takeshita%20A%5BAuthor%5D&amp;cauthor=true&amp;cauthor_uid=11960341" TargetMode="External"/><Relationship Id="rId37" Type="http://schemas.openxmlformats.org/officeDocument/2006/relationships/hyperlink" Target="https://www.ncbi.nlm.nih.gov/pubmed/?term=Satoh%20H%5BAuthor%5D&amp;cauthor=true&amp;cauthor_uid=11960341" TargetMode="External"/><Relationship Id="rId38" Type="http://schemas.openxmlformats.org/officeDocument/2006/relationships/hyperlink" Target="https://www.ncbi.nlm.nih.gov/pubmed/?term=Terada%20H%5BAuthor%5D&amp;cauthor=true&amp;cauthor_uid=11960341" TargetMode="External"/><Relationship Id="rId39" Type="http://schemas.openxmlformats.org/officeDocument/2006/relationships/hyperlink" Target="https://www.ncbi.nlm.nih.gov/pubmed/?term=Ohno%20R%5BAuthor%5D&amp;cauthor=true&amp;cauthor_uid=11960341" TargetMode="External"/><Relationship Id="rId40" Type="http://schemas.openxmlformats.org/officeDocument/2006/relationships/header" Target="header2.xml"/><Relationship Id="rId41" Type="http://schemas.openxmlformats.org/officeDocument/2006/relationships/footer" Target="footer2.xml"/><Relationship Id="rId42" Type="http://schemas.openxmlformats.org/officeDocument/2006/relationships/image" Target="media/image1.jpeg"/><Relationship Id="rId43" Type="http://schemas.openxmlformats.org/officeDocument/2006/relationships/header" Target="header3.xml"/><Relationship Id="rId44" Type="http://schemas.openxmlformats.org/officeDocument/2006/relationships/footer" Target="footer3.xml"/><Relationship Id="rId45" Type="http://schemas.openxmlformats.org/officeDocument/2006/relationships/numbering" Target="numbering.xml"/><Relationship Id="rId46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w Cen MT"/>
            <a:ea typeface="Tw Cen MT"/>
            <a:cs typeface="Tw Cen MT"/>
            <a:sym typeface="Tw Cen M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