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5E2767" w:rsidRDefault="005E2767" w:rsidP="005E2767">
      <w:pPr>
        <w:pStyle w:val="1"/>
        <w:spacing w:before="170"/>
        <w:rPr>
          <w:color w:val="337AB7"/>
        </w:rPr>
      </w:pPr>
      <w:r w:rsidRPr="005E2767">
        <w:rPr>
          <w:color w:val="337AB7"/>
        </w:rPr>
        <w:t xml:space="preserve">Modified Internal fixator for </w:t>
      </w:r>
      <w:bookmarkStart w:id="0" w:name="OLE_LINK18"/>
      <w:bookmarkStart w:id="1" w:name="OLE_LINK19"/>
      <w:bookmarkStart w:id="2" w:name="OLE_LINK22"/>
      <w:r w:rsidRPr="005E2767">
        <w:rPr>
          <w:color w:val="337AB7"/>
        </w:rPr>
        <w:t>anterior pelvic ring fractures</w:t>
      </w:r>
      <w:bookmarkEnd w:id="0"/>
      <w:bookmarkEnd w:id="1"/>
      <w:bookmarkEnd w:id="2"/>
      <w:r w:rsidRPr="005E2767">
        <w:rPr>
          <w:color w:val="337AB7"/>
        </w:rPr>
        <w:t xml:space="preserve"> </w:t>
      </w:r>
      <w:bookmarkStart w:id="3" w:name="OLE_LINK154"/>
      <w:bookmarkStart w:id="4" w:name="OLE_LINK155"/>
      <w:r w:rsidRPr="005E2767">
        <w:rPr>
          <w:color w:val="337AB7"/>
        </w:rPr>
        <w:t xml:space="preserve">versus conventional </w:t>
      </w:r>
      <w:bookmarkEnd w:id="3"/>
      <w:bookmarkEnd w:id="4"/>
      <w:r w:rsidRPr="005E2767">
        <w:rPr>
          <w:color w:val="337AB7"/>
        </w:rPr>
        <w:t>two-screw fixation</w:t>
      </w:r>
    </w:p>
    <w:p w:rsidR="00A260AE" w:rsidRDefault="00A260AE" w:rsidP="000D737D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Shenglong Ding</w:t>
      </w:r>
      <w:r w:rsidR="005973B9">
        <w:rPr>
          <w:rFonts w:ascii="Arial"/>
        </w:rPr>
        <w:t xml:space="preserve">, </w:t>
      </w:r>
      <w:r>
        <w:rPr>
          <w:rFonts w:ascii="Arial" w:hAnsi="Arial" w:cs="Arial"/>
          <w:noProof/>
        </w:rPr>
        <w:t>Medical master</w:t>
      </w:r>
      <w:r w:rsidR="005973B9">
        <w:rPr>
          <w:rFonts w:ascii="Arial"/>
        </w:rPr>
        <w:t xml:space="preserve">, </w:t>
      </w:r>
      <w:bookmarkStart w:id="5" w:name="OLE_LINK7"/>
      <w:bookmarkStart w:id="6" w:name="OLE_LINK8"/>
      <w:r>
        <w:rPr>
          <w:rFonts w:ascii="Arial"/>
        </w:rPr>
        <w:t xml:space="preserve">Qingpu Branch of </w:t>
      </w:r>
      <w:r w:rsidRPr="00A260AE">
        <w:rPr>
          <w:rFonts w:ascii="Arial"/>
        </w:rPr>
        <w:t>Zhongshan Hospita</w:t>
      </w:r>
      <w:r>
        <w:rPr>
          <w:rFonts w:ascii="Arial"/>
        </w:rPr>
        <w:t>l</w:t>
      </w:r>
      <w:bookmarkEnd w:id="5"/>
      <w:bookmarkEnd w:id="6"/>
      <w:r w:rsidR="005973B9">
        <w:rPr>
          <w:rFonts w:ascii="Arial"/>
        </w:rPr>
        <w:t xml:space="preserve">, </w:t>
      </w:r>
      <w:r>
        <w:rPr>
          <w:rFonts w:ascii="Arial"/>
        </w:rPr>
        <w:t>China</w:t>
      </w:r>
    </w:p>
    <w:p w:rsidR="005973B9" w:rsidRDefault="000D737D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Xiaotian Wu &amp; </w:t>
      </w:r>
      <w:r w:rsidR="00A260AE">
        <w:rPr>
          <w:rFonts w:ascii="Arial"/>
        </w:rPr>
        <w:t>Zhiyong Ruan</w:t>
      </w:r>
      <w:r w:rsidR="005973B9">
        <w:rPr>
          <w:rFonts w:ascii="Arial"/>
        </w:rPr>
        <w:t xml:space="preserve">, </w:t>
      </w:r>
      <w:r w:rsidR="00A260AE">
        <w:rPr>
          <w:rFonts w:ascii="Arial"/>
        </w:rPr>
        <w:t>M.</w:t>
      </w:r>
      <w:r w:rsidR="005973B9">
        <w:rPr>
          <w:rFonts w:ascii="Arial"/>
        </w:rPr>
        <w:t>D</w:t>
      </w:r>
      <w:r w:rsidR="00A260AE">
        <w:rPr>
          <w:rFonts w:ascii="Arial"/>
        </w:rPr>
        <w:t>.</w:t>
      </w:r>
      <w:r w:rsidR="005973B9">
        <w:rPr>
          <w:rFonts w:ascii="Arial"/>
        </w:rPr>
        <w:t xml:space="preserve">, </w:t>
      </w:r>
      <w:r w:rsidR="00A260AE" w:rsidRPr="00A260AE">
        <w:rPr>
          <w:rFonts w:ascii="Arial"/>
        </w:rPr>
        <w:t>Qingpu Branch of Zhongshan Hospital</w:t>
      </w:r>
      <w:r w:rsidR="005973B9">
        <w:rPr>
          <w:rFonts w:ascii="Arial"/>
        </w:rPr>
        <w:t xml:space="preserve">, </w:t>
      </w:r>
      <w:r w:rsidR="00A260AE">
        <w:rPr>
          <w:rFonts w:ascii="Arial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AE3E37" w:rsidRDefault="005E2767" w:rsidP="005E2767">
      <w:pPr>
        <w:pStyle w:val="a3"/>
        <w:spacing w:before="90" w:line="280" w:lineRule="auto"/>
        <w:ind w:left="100"/>
        <w:jc w:val="both"/>
      </w:pPr>
      <w:r w:rsidRPr="005E2767">
        <w:rPr>
          <w:b/>
        </w:rPr>
        <w:t>Purpose</w:t>
      </w:r>
      <w:r>
        <w:rPr>
          <w:rFonts w:asciiTheme="minorEastAsia" w:eastAsiaTheme="minorEastAsia" w:hAnsiTheme="minorEastAsia" w:hint="eastAsia"/>
          <w:lang w:eastAsia="zh-CN"/>
        </w:rPr>
        <w:t>:</w:t>
      </w:r>
      <w:r>
        <w:rPr>
          <w:rFonts w:asciiTheme="minorEastAsia" w:eastAsiaTheme="minorEastAsia" w:hAnsiTheme="minorEastAsia"/>
          <w:lang w:eastAsia="zh-CN"/>
        </w:rPr>
        <w:t xml:space="preserve"> </w:t>
      </w:r>
      <w:r w:rsidRPr="005E2767">
        <w:t xml:space="preserve">The present study aims to evaluate the short-term clinical effects and complications of modified three-screw fixation and conventional two-screw fixation for treating anterior pelvic ring fractures. </w:t>
      </w:r>
      <w:r w:rsidRPr="005E2767">
        <w:rPr>
          <w:b/>
        </w:rPr>
        <w:t>Methods</w:t>
      </w:r>
      <w:r>
        <w:t xml:space="preserve">: </w:t>
      </w:r>
      <w:r w:rsidRPr="005E2767">
        <w:t xml:space="preserve">A retrospective study of 51 patients with type B fractures was performed. 25 patients (modified group) were treated with modified three-screw fixation and the other 26 patients (conventional group) with conventional two-screw fixation. Outcome measures included operation time, intraoperative blood loss, hospital stays, postoperative complications and the Majeed score at postoperatively 2 months, 3 months, 1 year and the time of implant removal. </w:t>
      </w:r>
      <w:r w:rsidRPr="005E2767">
        <w:rPr>
          <w:b/>
        </w:rPr>
        <w:t>Results</w:t>
      </w:r>
      <w:r>
        <w:t xml:space="preserve">: </w:t>
      </w:r>
      <w:r w:rsidRPr="005E2767">
        <w:t xml:space="preserve">The mean operative times and mean blood loss for modified three-screw fixation versus conventional two-screw fixation bilateral were 54.8±10.7 min versus 32.3±9.9 min, and 153.3 mL versus 550.0 mL(p&lt;0.001), respectively. However, the Majeed score was better in modified group at postoperatively 2 months (75.6±9.5 vs 69.7±8.3, P=0.008) and 3 months (80.3±10.7 vs. 75.1±11.9, P=0.014). No statistical difference between two groups at the time of implant removal (82.1±9.3 vs 80.9±8.8, P=0.272) and postoperatively 1 year (83.5±7.8 vs 82.6±8.2, P=0.723). No patients experienced surgical wound infection, deep vein thrombosis, delayed union or nonunion, implant loosening or rupture. 1 patient complained of tardive unilateral thigh pain at postoperatively 4 months in conventional group. </w:t>
      </w:r>
      <w:r w:rsidRPr="005E2767">
        <w:rPr>
          <w:b/>
        </w:rPr>
        <w:t>Conclusions</w:t>
      </w:r>
      <w:r>
        <w:t xml:space="preserve">: </w:t>
      </w:r>
      <w:r w:rsidRPr="005E2767">
        <w:t>Both modified three-screw fixation and conventional two-screw fixation could ultimately afford satisfactory clinical and radiological outcomes with less complication for anterior pelvic ring fractures. The modified three-screw fixation might have better biomechanical strength and faster pelvic rehabilitation.</w:t>
      </w:r>
    </w:p>
    <w:p w:rsidR="00AE3E37" w:rsidRDefault="008A0D8B">
      <w:pPr>
        <w:pStyle w:val="3"/>
        <w:spacing w:before="74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.5pt;margin-top:114.45pt;width:54.75pt;height:82.45pt;z-index:251659264;mso-position-horizontal-relative:text;mso-position-vertical-relative:text;mso-width-relative:page;mso-height-relative:page">
            <v:imagedata r:id="rId9" o:title="证件照白底"/>
          </v:shape>
        </w:pic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6F57C4">
      <w:pPr>
        <w:pStyle w:val="a3"/>
        <w:spacing w:before="2"/>
        <w:rPr>
          <w:rFonts w:ascii="Arial"/>
          <w:b/>
          <w:sz w:val="16"/>
        </w:rPr>
      </w:pPr>
      <w:r>
        <w:rPr>
          <w:lang w:eastAsia="zh-CN"/>
        </w:rPr>
        <w:pict>
          <v:shape id="_x0000_i1031" type="#_x0000_t75" style="width:259pt;height:252pt">
            <v:imagedata r:id="rId10" o:title="壁报投稿"/>
          </v:shape>
        </w:pi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B203BD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B203BD">
        <w:rPr>
          <w:sz w:val="18"/>
        </w:rPr>
        <w:t>Wu X, Liu Z, Fu W, Zhao S, Feng J. Modified pedicle screw-rod fixation as a minimally invasive treatment for anterior pelvic ring injuries: an initial case series. J Orthop Surg Res. 2017; 12:84.</w:t>
      </w:r>
    </w:p>
    <w:p w:rsidR="005973B9" w:rsidRDefault="00B203B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203BD">
        <w:rPr>
          <w:sz w:val="18"/>
        </w:rPr>
        <w:t>Vaidya R, Colen R, Vigdorchik J, Tonnos F, Sethi A. Treatment of unstable pelvic ring injuries with an internal anterior fixator and posterior fixation: initial clinical series. J Orthop Trauma. 2012; 26:1-8</w:t>
      </w:r>
      <w:bookmarkStart w:id="7" w:name="OLE_LINK24"/>
      <w:bookmarkStart w:id="8" w:name="OLE_LINK25"/>
      <w:r w:rsidRPr="00B203BD">
        <w:rPr>
          <w:sz w:val="18"/>
        </w:rPr>
        <w:t>.</w:t>
      </w:r>
      <w:bookmarkEnd w:id="7"/>
      <w:bookmarkEnd w:id="8"/>
    </w:p>
    <w:p w:rsidR="005973B9" w:rsidRDefault="00B203B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203BD">
        <w:rPr>
          <w:sz w:val="18"/>
        </w:rPr>
        <w:t xml:space="preserve">Hiesterman TG, Hill BW, Cole PA. </w:t>
      </w:r>
      <w:bookmarkStart w:id="9" w:name="OLE_LINK26"/>
      <w:r w:rsidRPr="00B203BD">
        <w:rPr>
          <w:sz w:val="18"/>
        </w:rPr>
        <w:t>Surgical technique: a percutaneous method of subcutaneous fixation for the anterior pelvic ring: the pelvic bridge</w:t>
      </w:r>
      <w:bookmarkEnd w:id="9"/>
      <w:r w:rsidRPr="00B203BD">
        <w:rPr>
          <w:sz w:val="18"/>
        </w:rPr>
        <w:t>. Clin Orthop Relat Res. 2012; 470:2116-23.</w:t>
      </w:r>
    </w:p>
    <w:p w:rsidR="005973B9" w:rsidRPr="00B203BD" w:rsidRDefault="00B203BD" w:rsidP="00B203BD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B203BD">
        <w:rPr>
          <w:sz w:val="18"/>
        </w:rPr>
        <w:t>Wang Q, Wang Q, Wang J. Treatment of type B pelvic fracture using anterior subcutaneous internal fixator with triple pedicle screws: a new surgical technique. Arch Ortho</w:t>
      </w:r>
      <w:r>
        <w:rPr>
          <w:sz w:val="18"/>
        </w:rPr>
        <w:t>p Trauma Surg. 2017; 137:887-93.</w:t>
      </w:r>
    </w:p>
    <w:p w:rsidR="006F57C4" w:rsidRDefault="00B203BD" w:rsidP="006F57C4">
      <w:pPr>
        <w:pStyle w:val="a3"/>
        <w:numPr>
          <w:ilvl w:val="0"/>
          <w:numId w:val="3"/>
        </w:numPr>
        <w:spacing w:before="85" w:line="216" w:lineRule="exact"/>
        <w:ind w:right="138"/>
        <w:jc w:val="both"/>
      </w:pPr>
      <w:r w:rsidRPr="00B203BD">
        <w:rPr>
          <w:rFonts w:ascii="Calibri" w:hAnsi="Calibri"/>
        </w:rPr>
        <w:t>Reichel LM, MacCormick LM, Dugarte AJ, Rizkala AR, Graves SC, Cole PA. Minimally invasive anterior pelvic internal fixation: an anatomic study comparing pelvic bridge to INFIX. Injury.  2018; 49:309-14.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0F1BF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t xml:space="preserve">              </w:t>
      </w:r>
      <w:r w:rsidR="008A0D8B">
        <w:t xml:space="preserve">        </w:t>
      </w:r>
      <w:r w:rsidR="00EE4F03"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0C2BE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Shenglong Ding</w:t>
      </w:r>
      <w:r w:rsidR="00317AEB">
        <w:rPr>
          <w:rFonts w:ascii="Arial"/>
          <w:sz w:val="14"/>
        </w:rPr>
        <w:t xml:space="preserve">, a </w:t>
      </w:r>
      <w:r w:rsidR="00317AEB" w:rsidRPr="00317AEB">
        <w:rPr>
          <w:rFonts w:ascii="Arial"/>
          <w:sz w:val="14"/>
        </w:rPr>
        <w:t>graduate student in orthopedics</w:t>
      </w:r>
      <w:r w:rsidR="00317AEB">
        <w:rPr>
          <w:rFonts w:ascii="Arial"/>
          <w:sz w:val="14"/>
        </w:rPr>
        <w:t xml:space="preserve"> </w:t>
      </w:r>
      <w:r w:rsidR="00317AEB" w:rsidRPr="00317AEB">
        <w:rPr>
          <w:rFonts w:ascii="Arial"/>
          <w:sz w:val="14"/>
        </w:rPr>
        <w:t>at Shanghai Me</w:t>
      </w:r>
      <w:r w:rsidR="00317AEB">
        <w:rPr>
          <w:rFonts w:ascii="Arial"/>
          <w:sz w:val="14"/>
        </w:rPr>
        <w:t>dical College, Fudan University,</w:t>
      </w:r>
      <w:r w:rsidR="00A9710C">
        <w:rPr>
          <w:rFonts w:ascii="Arial"/>
          <w:sz w:val="14"/>
        </w:rPr>
        <w:t xml:space="preserve"> 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in</w:t>
      </w:r>
      <w:r w:rsidRPr="000C2BE0">
        <w:t xml:space="preserve"> </w:t>
      </w:r>
      <w:r w:rsidRPr="000C2BE0">
        <w:rPr>
          <w:rFonts w:ascii="Arial"/>
          <w:sz w:val="14"/>
        </w:rPr>
        <w:t>Intervertebral disc degeneration</w:t>
      </w:r>
      <w:r>
        <w:rPr>
          <w:rFonts w:ascii="Arial"/>
          <w:sz w:val="14"/>
        </w:rPr>
        <w:t xml:space="preserve"> and</w:t>
      </w:r>
      <w:r w:rsidR="00E67A25" w:rsidRPr="00E67A25">
        <w:t xml:space="preserve"> </w:t>
      </w:r>
      <w:r w:rsidR="00E67A25">
        <w:rPr>
          <w:rFonts w:ascii="Arial"/>
          <w:sz w:val="14"/>
        </w:rPr>
        <w:t>b</w:t>
      </w:r>
      <w:r w:rsidR="00E67A25" w:rsidRPr="00E67A25">
        <w:rPr>
          <w:rFonts w:ascii="Arial"/>
          <w:sz w:val="14"/>
        </w:rPr>
        <w:t>iomaterials field</w:t>
      </w:r>
      <w:r w:rsidR="00A9710C">
        <w:rPr>
          <w:rFonts w:ascii="Arial"/>
          <w:sz w:val="14"/>
        </w:rPr>
        <w:t xml:space="preserve">. </w:t>
      </w:r>
      <w:r w:rsidR="006D0155" w:rsidRPr="006D0155">
        <w:rPr>
          <w:rFonts w:ascii="Arial"/>
          <w:sz w:val="14"/>
        </w:rPr>
        <w:t>He h</w:t>
      </w:r>
      <w:r w:rsidR="006D0155">
        <w:rPr>
          <w:rFonts w:ascii="Arial"/>
          <w:sz w:val="14"/>
        </w:rPr>
        <w:t xml:space="preserve">as published articles entitled </w:t>
      </w:r>
      <w:r w:rsidR="003108BE">
        <w:rPr>
          <w:rFonts w:ascii="Arial"/>
          <w:sz w:val="14"/>
        </w:rPr>
        <w:t>“</w:t>
      </w:r>
      <w:r w:rsidR="003108BE" w:rsidRPr="00317AEB">
        <w:rPr>
          <w:rFonts w:ascii="Arial"/>
          <w:i/>
          <w:sz w:val="14"/>
        </w:rPr>
        <w:t>Salt</w:t>
      </w:r>
      <w:r w:rsidR="006D0155" w:rsidRPr="00317AEB">
        <w:rPr>
          <w:rFonts w:ascii="Arial"/>
          <w:i/>
          <w:sz w:val="14"/>
        </w:rPr>
        <w:t>-</w:t>
      </w:r>
      <w:r w:rsidR="006D0155" w:rsidRPr="006D0155">
        <w:rPr>
          <w:rFonts w:ascii="Arial"/>
          <w:i/>
          <w:sz w:val="14"/>
        </w:rPr>
        <w:t>assisted toughening of protein hydrogel with controlled degradation for bone regeneration</w:t>
      </w:r>
      <w:r w:rsidR="006D0155" w:rsidRPr="006D0155">
        <w:rPr>
          <w:rFonts w:ascii="Arial"/>
          <w:sz w:val="14"/>
        </w:rPr>
        <w:t>"</w:t>
      </w:r>
      <w:r w:rsidR="003108BE">
        <w:rPr>
          <w:rFonts w:ascii="Arial"/>
          <w:sz w:val="14"/>
        </w:rPr>
        <w:t>(</w:t>
      </w:r>
      <w:r w:rsidR="003108BE" w:rsidRPr="003108BE">
        <w:rPr>
          <w:rFonts w:ascii="Arial" w:hAnsi="Arial" w:cs="Arial"/>
          <w:sz w:val="14"/>
          <w:szCs w:val="14"/>
        </w:rPr>
        <w:t>online</w:t>
      </w:r>
      <w:r w:rsidR="003108BE">
        <w:rPr>
          <w:rFonts w:ascii="Arial" w:hAnsi="Arial" w:cs="Arial"/>
          <w:sz w:val="14"/>
          <w:szCs w:val="14"/>
        </w:rPr>
        <w:t xml:space="preserve"> in</w:t>
      </w:r>
      <w:r w:rsidR="003108BE">
        <w:rPr>
          <w:rFonts w:ascii="Arial" w:hAnsi="Arial" w:cs="Arial"/>
          <w:sz w:val="15"/>
        </w:rPr>
        <w:t xml:space="preserve"> </w:t>
      </w:r>
      <w:r w:rsidR="003108BE" w:rsidRPr="003108BE">
        <w:rPr>
          <w:rFonts w:ascii="Arial"/>
          <w:sz w:val="14"/>
        </w:rPr>
        <w:t>April</w:t>
      </w:r>
      <w:r w:rsidR="003108BE">
        <w:rPr>
          <w:rFonts w:ascii="Arial"/>
          <w:sz w:val="14"/>
        </w:rPr>
        <w:t xml:space="preserve"> 2019; </w:t>
      </w:r>
      <w:r w:rsidR="003108BE" w:rsidRPr="003108BE">
        <w:rPr>
          <w:rFonts w:ascii="Arial"/>
          <w:b/>
          <w:i/>
          <w:sz w:val="14"/>
        </w:rPr>
        <w:t>Advanced Functional Materials</w:t>
      </w:r>
      <w:r w:rsidR="003108BE">
        <w:rPr>
          <w:rFonts w:ascii="Arial"/>
          <w:sz w:val="14"/>
        </w:rPr>
        <w:t>; IF=13.5</w:t>
      </w:r>
      <w:r w:rsidR="003108BE" w:rsidRPr="003108BE">
        <w:rPr>
          <w:rFonts w:ascii="Arial"/>
          <w:sz w:val="14"/>
        </w:rPr>
        <w:t>)</w:t>
      </w:r>
      <w:r w:rsidR="006D0155" w:rsidRPr="006D0155">
        <w:rPr>
          <w:rFonts w:ascii="Arial"/>
          <w:sz w:val="14"/>
        </w:rPr>
        <w:t xml:space="preserve"> and "</w:t>
      </w:r>
      <w:r w:rsidR="006D0155" w:rsidRPr="006D0155">
        <w:t xml:space="preserve"> </w:t>
      </w:r>
      <w:r w:rsidR="006D0155" w:rsidRPr="00317AEB">
        <w:rPr>
          <w:rFonts w:ascii="Arial"/>
          <w:i/>
          <w:sz w:val="14"/>
        </w:rPr>
        <w:t>Bombyx mori Silk Based Materials with Implication in Skin Repair: Sericin versus Regenerated Silk Fibroin</w:t>
      </w:r>
      <w:r w:rsidR="006D0155" w:rsidRPr="006D0155">
        <w:rPr>
          <w:rFonts w:ascii="Arial"/>
          <w:sz w:val="14"/>
        </w:rPr>
        <w:t xml:space="preserve"> "</w:t>
      </w:r>
      <w:r w:rsidR="003108BE">
        <w:rPr>
          <w:rFonts w:ascii="Arial"/>
          <w:sz w:val="14"/>
        </w:rPr>
        <w:t xml:space="preserve">(online in April 2019; </w:t>
      </w:r>
      <w:r w:rsidR="003108BE" w:rsidRPr="00317AEB">
        <w:rPr>
          <w:rFonts w:ascii="Arial"/>
          <w:b/>
          <w:sz w:val="14"/>
        </w:rPr>
        <w:t>Journal of Biomaterials Applications</w:t>
      </w:r>
      <w:r w:rsidR="003108BE">
        <w:rPr>
          <w:rFonts w:ascii="Arial"/>
          <w:sz w:val="14"/>
        </w:rPr>
        <w:t>; IF=2.35)</w:t>
      </w:r>
      <w:r w:rsidR="006D0155" w:rsidRPr="006D0155">
        <w:rPr>
          <w:rFonts w:ascii="Arial"/>
          <w:sz w:val="14"/>
        </w:rPr>
        <w:t xml:space="preserve"> in the field of materials. </w:t>
      </w:r>
      <w:r w:rsidR="00475886" w:rsidRPr="00475886">
        <w:rPr>
          <w:rFonts w:ascii="Arial"/>
          <w:sz w:val="14"/>
        </w:rPr>
        <w:t xml:space="preserve">He is also </w:t>
      </w:r>
      <w:r w:rsidR="00475886">
        <w:rPr>
          <w:rFonts w:ascii="Arial"/>
          <w:sz w:val="14"/>
        </w:rPr>
        <w:t>focused on</w:t>
      </w:r>
      <w:r w:rsidR="00475886" w:rsidRPr="00475886">
        <w:rPr>
          <w:rFonts w:ascii="Arial"/>
          <w:sz w:val="14"/>
        </w:rPr>
        <w:t xml:space="preserve"> problems </w:t>
      </w:r>
      <w:r w:rsidR="00475886">
        <w:rPr>
          <w:rFonts w:ascii="Arial"/>
          <w:sz w:val="14"/>
        </w:rPr>
        <w:t>of</w:t>
      </w:r>
      <w:r w:rsidR="00475886" w:rsidRPr="00475886">
        <w:rPr>
          <w:rFonts w:ascii="Arial"/>
          <w:sz w:val="14"/>
        </w:rPr>
        <w:t xml:space="preserve"> clinical work, and his article entitled </w:t>
      </w:r>
      <w:r w:rsidR="00317AEB">
        <w:rPr>
          <w:rFonts w:ascii="Arial"/>
          <w:sz w:val="14"/>
        </w:rPr>
        <w:t>“</w:t>
      </w:r>
      <w:r w:rsidR="00317AEB" w:rsidRPr="00317AEB">
        <w:rPr>
          <w:rFonts w:ascii="Arial"/>
          <w:i/>
          <w:sz w:val="14"/>
        </w:rPr>
        <w:t>Two application modes of pedicle screw-rod fixator for anterior pelvic ring fractures: a retrospective study</w:t>
      </w:r>
      <w:r w:rsidR="00317AEB">
        <w:rPr>
          <w:rFonts w:ascii="Arial"/>
          <w:sz w:val="14"/>
        </w:rPr>
        <w:t>”</w:t>
      </w:r>
      <w:r w:rsidR="00475886" w:rsidRPr="00475886">
        <w:rPr>
          <w:rFonts w:ascii="Arial"/>
          <w:sz w:val="14"/>
        </w:rPr>
        <w:t xml:space="preserve"> has just been received</w:t>
      </w:r>
      <w:r w:rsidR="00317AEB">
        <w:rPr>
          <w:rFonts w:ascii="Arial"/>
          <w:sz w:val="14"/>
        </w:rPr>
        <w:t xml:space="preserve"> by </w:t>
      </w:r>
      <w:r w:rsidR="00317AEB" w:rsidRPr="00317AEB">
        <w:rPr>
          <w:rFonts w:ascii="Arial"/>
          <w:b/>
          <w:i/>
          <w:sz w:val="14"/>
        </w:rPr>
        <w:t>Journal of International Medical Research</w:t>
      </w:r>
      <w:r w:rsidR="00475886" w:rsidRPr="00475886">
        <w:rPr>
          <w:rFonts w:ascii="Arial"/>
          <w:sz w:val="14"/>
        </w:rPr>
        <w:t xml:space="preserve">. </w:t>
      </w:r>
      <w:bookmarkStart w:id="10" w:name="_GoBack"/>
      <w:bookmarkEnd w:id="10"/>
    </w:p>
    <w:p w:rsidR="00AE3E37" w:rsidRPr="00EE4F03" w:rsidRDefault="00A9710C" w:rsidP="00EE4F0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61C41" w:rsidRPr="00261C41">
        <w:rPr>
          <w:rFonts w:ascii="Arial"/>
          <w:sz w:val="14"/>
        </w:rPr>
        <w:t>17211350004@fudan.edu.cn</w:t>
      </w:r>
      <w:r w:rsidR="00261C41">
        <w:rPr>
          <w:rFonts w:ascii="Arial"/>
          <w:sz w:val="14"/>
        </w:rPr>
        <w:t xml:space="preserve"> </w:t>
      </w:r>
      <w:r w:rsidR="00292ED9">
        <w:rPr>
          <w:lang w:eastAsia="zh-C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7F6B3032" wp14:editId="4E24F11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D5967" id="Line 3" o:spid="_x0000_s1026" style="position:absolute;left:0;text-align:lef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E44" w:rsidRDefault="00055E44">
      <w:r>
        <w:separator/>
      </w:r>
    </w:p>
  </w:endnote>
  <w:endnote w:type="continuationSeparator" w:id="0">
    <w:p w:rsidR="00055E44" w:rsidRDefault="0005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E44" w:rsidRDefault="00055E44">
      <w:r>
        <w:separator/>
      </w:r>
    </w:p>
  </w:footnote>
  <w:footnote w:type="continuationSeparator" w:id="0">
    <w:p w:rsidR="00055E44" w:rsidRDefault="00055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5E44"/>
    <w:rsid w:val="000C2BE0"/>
    <w:rsid w:val="000D737D"/>
    <w:rsid w:val="000E2911"/>
    <w:rsid w:val="001263DF"/>
    <w:rsid w:val="00187A61"/>
    <w:rsid w:val="00261C41"/>
    <w:rsid w:val="00292ED9"/>
    <w:rsid w:val="003108BE"/>
    <w:rsid w:val="00317AEB"/>
    <w:rsid w:val="00404E5B"/>
    <w:rsid w:val="00414F7B"/>
    <w:rsid w:val="004355DC"/>
    <w:rsid w:val="004749B4"/>
    <w:rsid w:val="00475886"/>
    <w:rsid w:val="00494130"/>
    <w:rsid w:val="004F3523"/>
    <w:rsid w:val="005973B9"/>
    <w:rsid w:val="005B3A56"/>
    <w:rsid w:val="005E2767"/>
    <w:rsid w:val="006060CE"/>
    <w:rsid w:val="0063497F"/>
    <w:rsid w:val="006D0155"/>
    <w:rsid w:val="006F57C4"/>
    <w:rsid w:val="00873DF0"/>
    <w:rsid w:val="008756E6"/>
    <w:rsid w:val="00884D5E"/>
    <w:rsid w:val="008A0D8B"/>
    <w:rsid w:val="008F6CC0"/>
    <w:rsid w:val="009111E1"/>
    <w:rsid w:val="009B2D44"/>
    <w:rsid w:val="00A07E82"/>
    <w:rsid w:val="00A260AE"/>
    <w:rsid w:val="00A9710C"/>
    <w:rsid w:val="00AE3E37"/>
    <w:rsid w:val="00B203BD"/>
    <w:rsid w:val="00B21A57"/>
    <w:rsid w:val="00C33602"/>
    <w:rsid w:val="00CD6F55"/>
    <w:rsid w:val="00DE3104"/>
    <w:rsid w:val="00E67A25"/>
    <w:rsid w:val="00EE4F0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8C4ADB"/>
  <w15:docId w15:val="{44F1396E-58B6-40C4-8530-83E03528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丁 声龙</cp:lastModifiedBy>
  <cp:revision>15</cp:revision>
  <dcterms:created xsi:type="dcterms:W3CDTF">2016-08-31T12:06:00Z</dcterms:created>
  <dcterms:modified xsi:type="dcterms:W3CDTF">2019-05-04T10:13:00Z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