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A38" w:rsidRDefault="00BA27E8" w:rsidP="00093A38">
      <w:pPr>
        <w:pStyle w:val="Title"/>
      </w:pPr>
      <w:r>
        <w:t>Post</w:t>
      </w:r>
      <w:r w:rsidR="00093A38">
        <w:t>operative Blood Testing in Total Hip Replacement, is it needed?</w:t>
      </w:r>
    </w:p>
    <w:p w:rsidR="00093A38" w:rsidRDefault="00093A38" w:rsidP="00093A38">
      <w:pPr>
        <w:rPr>
          <w:rStyle w:val="Heading1Char"/>
        </w:rPr>
      </w:pPr>
      <w:r w:rsidRPr="005B0C80">
        <w:rPr>
          <w:rStyle w:val="Heading1Char"/>
        </w:rPr>
        <w:t>Intro</w:t>
      </w:r>
    </w:p>
    <w:p w:rsidR="00093A38" w:rsidRPr="007441C9" w:rsidRDefault="00093A38" w:rsidP="00093A38">
      <w:pPr>
        <w:rPr>
          <w:rStyle w:val="Heading1Char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t>Demand for Total Hip replacement (THR) is set to rise significantly due to increase in prevalence of osteoarthritis. THR performed as a day case has been described</w:t>
      </w:r>
      <w:r w:rsidR="00266602">
        <w:t>,</w:t>
      </w:r>
      <w:r>
        <w:t xml:space="preserve"> </w:t>
      </w:r>
      <w:r w:rsidR="00B846DD">
        <w:t>with</w:t>
      </w:r>
      <w:r>
        <w:t xml:space="preserve"> patient selection </w:t>
      </w:r>
      <w:r w:rsidR="00B846DD">
        <w:t>being important to</w:t>
      </w:r>
      <w:r>
        <w:t xml:space="preserve"> succes</w:t>
      </w:r>
      <w:r w:rsidR="00266602">
        <w:t>s as a day case. We observe post</w:t>
      </w:r>
      <w:r>
        <w:t xml:space="preserve">operative blood derangement to be rare in THR and question the clinical value of these </w:t>
      </w:r>
      <w:r w:rsidR="00266602">
        <w:t>tests</w:t>
      </w:r>
      <w:r>
        <w:t xml:space="preserve">.  </w:t>
      </w:r>
      <w:r>
        <w:br/>
      </w:r>
      <w:r>
        <w:br/>
      </w:r>
      <w:r w:rsidRPr="005B0C80">
        <w:rPr>
          <w:rStyle w:val="Heading1Char"/>
        </w:rPr>
        <w:t>Methods</w:t>
      </w:r>
      <w:r>
        <w:br/>
      </w:r>
      <w:r>
        <w:br/>
        <w:t xml:space="preserve">Patients undergoing elective </w:t>
      </w:r>
      <w:r w:rsidR="00266602">
        <w:t>THR</w:t>
      </w:r>
      <w:r>
        <w:t xml:space="preserve"> were included in a retrospective observational study looking into their pre and post-operative haemoglobin (</w:t>
      </w:r>
      <w:proofErr w:type="spellStart"/>
      <w:r>
        <w:t>Hb</w:t>
      </w:r>
      <w:proofErr w:type="spellEnd"/>
      <w:r>
        <w:t>) levels as well as post operative electrolytes.</w:t>
      </w:r>
      <w:r>
        <w:br/>
        <w:t xml:space="preserve">The </w:t>
      </w:r>
      <w:proofErr w:type="spellStart"/>
      <w:r w:rsidR="00B846DD">
        <w:t>Hb</w:t>
      </w:r>
      <w:proofErr w:type="spellEnd"/>
      <w:r>
        <w:t xml:space="preserve"> </w:t>
      </w:r>
      <w:r w:rsidR="00B846DD">
        <w:t>and electrolyte</w:t>
      </w:r>
      <w:r>
        <w:t xml:space="preserve">s were assessed and compared against other variables including ASA grade, postoperative inpatient </w:t>
      </w:r>
      <w:r w:rsidR="00021B03">
        <w:t>stay and 28 day readmission</w:t>
      </w:r>
      <w:r>
        <w:t>. 353 cases from 01/2014 to 07/2018 were included.</w:t>
      </w:r>
      <w:r>
        <w:br/>
      </w:r>
      <w:r>
        <w:br/>
      </w:r>
      <w:r w:rsidRPr="005B0C80">
        <w:rPr>
          <w:rStyle w:val="Heading1Char"/>
        </w:rPr>
        <w:t>Results</w:t>
      </w:r>
    </w:p>
    <w:p w:rsidR="00093A38" w:rsidRDefault="00093A38" w:rsidP="00BA27E8">
      <w:r>
        <w:t xml:space="preserve">Mean age at operation 70 (range 42-90) Mean pre-operative </w:t>
      </w:r>
      <w:proofErr w:type="spellStart"/>
      <w:r>
        <w:t>Hb</w:t>
      </w:r>
      <w:proofErr w:type="spellEnd"/>
      <w:r>
        <w:t xml:space="preserve"> 134.7g/l. Mean decrease in </w:t>
      </w:r>
      <w:proofErr w:type="spellStart"/>
      <w:r>
        <w:t>Hb</w:t>
      </w:r>
      <w:proofErr w:type="spellEnd"/>
      <w:r>
        <w:t xml:space="preserve"> at day 1 post op 22.3g/l. </w:t>
      </w:r>
    </w:p>
    <w:p w:rsidR="00093A38" w:rsidRDefault="00093A38" w:rsidP="00093A38">
      <w:r>
        <w:t xml:space="preserve">6.4% of patients (n= 18) with an ASA of 1-2 had postoperative blood results requiring intervention compared to 17.8% of patients (n= 13) with ASA 3-4. </w:t>
      </w:r>
    </w:p>
    <w:p w:rsidR="00093A38" w:rsidRDefault="00093A38" w:rsidP="00093A38">
      <w:r>
        <w:t xml:space="preserve">Deranged bloods in the ASA 1-2 group tended to occur in older patients (mean 76.5). </w:t>
      </w:r>
    </w:p>
    <w:p w:rsidR="00093A38" w:rsidRDefault="00093A38" w:rsidP="00093A38">
      <w:r>
        <w:t>28 day readmission rates were lower in the ASA 1-2 group.</w:t>
      </w:r>
      <w:r>
        <w:br/>
      </w:r>
      <w:r>
        <w:br/>
      </w:r>
      <w:r w:rsidRPr="00A85D66">
        <w:rPr>
          <w:rStyle w:val="Heading1Char"/>
        </w:rPr>
        <w:t>Conclusion</w:t>
      </w:r>
      <w:r>
        <w:br/>
      </w:r>
      <w:r>
        <w:br/>
        <w:t xml:space="preserve">In conclusion, </w:t>
      </w:r>
      <w:r w:rsidR="00266602">
        <w:t>our retrospective analysis of</w:t>
      </w:r>
      <w:r>
        <w:t xml:space="preserve"> patients </w:t>
      </w:r>
      <w:r w:rsidR="008A667D">
        <w:t>indicates</w:t>
      </w:r>
      <w:r>
        <w:t xml:space="preserve"> that routine post operative bloods </w:t>
      </w:r>
      <w:r w:rsidR="008A667D">
        <w:t>are not</w:t>
      </w:r>
      <w:r>
        <w:t xml:space="preserve"> required for all patients groups.</w:t>
      </w:r>
      <w:r w:rsidR="008A667D">
        <w:t xml:space="preserve"> </w:t>
      </w:r>
      <w:r w:rsidR="00266602">
        <w:t>Patients with ASA grade</w:t>
      </w:r>
      <w:r>
        <w:t xml:space="preserve"> 1</w:t>
      </w:r>
      <w:r w:rsidR="00266602">
        <w:t>-</w:t>
      </w:r>
      <w:r w:rsidR="008A667D">
        <w:t>2, who are</w:t>
      </w:r>
      <w:r>
        <w:t xml:space="preserve"> under the age of 75</w:t>
      </w:r>
      <w:r w:rsidR="008A667D">
        <w:t>,</w:t>
      </w:r>
      <w:r>
        <w:t xml:space="preserve"> rarely display derangement post operatively and routine testing does not alter clinical management. </w:t>
      </w:r>
    </w:p>
    <w:p w:rsidR="00AB574F" w:rsidRDefault="008A667D"/>
    <w:sectPr w:rsidR="00AB574F" w:rsidSect="00DB6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3A38"/>
    <w:rsid w:val="00021B03"/>
    <w:rsid w:val="00093A38"/>
    <w:rsid w:val="00204989"/>
    <w:rsid w:val="00266602"/>
    <w:rsid w:val="005A51F6"/>
    <w:rsid w:val="00810E98"/>
    <w:rsid w:val="00877B11"/>
    <w:rsid w:val="008A667D"/>
    <w:rsid w:val="00B846DD"/>
    <w:rsid w:val="00BA2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A38"/>
  </w:style>
  <w:style w:type="paragraph" w:styleId="Heading1">
    <w:name w:val="heading 1"/>
    <w:basedOn w:val="Normal"/>
    <w:next w:val="Normal"/>
    <w:link w:val="Heading1Char"/>
    <w:uiPriority w:val="9"/>
    <w:qFormat/>
    <w:rsid w:val="00093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93A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3A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1320</Characters>
  <Application>Microsoft Office Word</Application>
  <DocSecurity>0</DocSecurity>
  <Lines>11</Lines>
  <Paragraphs>3</Paragraphs>
  <ScaleCrop>false</ScaleCrop>
  <Company>Betsi Cadwaladr University Health Board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ia192018</dc:creator>
  <cp:lastModifiedBy>ia192018</cp:lastModifiedBy>
  <cp:revision>6</cp:revision>
  <dcterms:created xsi:type="dcterms:W3CDTF">2018-10-19T12:14:00Z</dcterms:created>
  <dcterms:modified xsi:type="dcterms:W3CDTF">2018-10-19T12:56:00Z</dcterms:modified>
</cp:coreProperties>
</file>