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Pr="005E2767" w:rsidRDefault="00397BC9" w:rsidP="00397BC9">
      <w:pPr>
        <w:pStyle w:val="1"/>
        <w:spacing w:before="170"/>
        <w:rPr>
          <w:color w:val="337AB7"/>
        </w:rPr>
      </w:pPr>
      <w:bookmarkStart w:id="0" w:name="OLE_LINK15"/>
      <w:bookmarkStart w:id="1" w:name="OLE_LINK16"/>
      <w:r w:rsidRPr="00397BC9">
        <w:rPr>
          <w:color w:val="337AB7"/>
        </w:rPr>
        <w:t>OGR1 mediates the inhibitory effects of acidic environment on proliferation and angiogenesis of endothelial progenitor cells</w:t>
      </w:r>
      <w:bookmarkEnd w:id="0"/>
      <w:bookmarkEnd w:id="1"/>
    </w:p>
    <w:p w:rsidR="00A260AE" w:rsidRDefault="00A260AE" w:rsidP="000D737D">
      <w:pPr>
        <w:pStyle w:val="a3"/>
        <w:spacing w:before="73" w:line="198" w:lineRule="exact"/>
        <w:ind w:left="100" w:right="5987"/>
        <w:rPr>
          <w:rFonts w:ascii="Arial"/>
        </w:rPr>
      </w:pPr>
      <w:proofErr w:type="spellStart"/>
      <w:r>
        <w:rPr>
          <w:rFonts w:ascii="Arial"/>
        </w:rPr>
        <w:t>Shenglong</w:t>
      </w:r>
      <w:proofErr w:type="spellEnd"/>
      <w:r>
        <w:rPr>
          <w:rFonts w:ascii="Arial"/>
        </w:rPr>
        <w:t xml:space="preserve"> Ding</w:t>
      </w:r>
      <w:r w:rsidR="005973B9">
        <w:rPr>
          <w:rFonts w:ascii="Arial"/>
        </w:rPr>
        <w:t xml:space="preserve">, </w:t>
      </w:r>
      <w:r>
        <w:rPr>
          <w:rFonts w:ascii="Arial" w:hAnsi="Arial" w:cs="Arial"/>
        </w:rPr>
        <w:t>Medical master</w:t>
      </w:r>
      <w:r w:rsidR="005973B9">
        <w:rPr>
          <w:rFonts w:ascii="Arial"/>
        </w:rPr>
        <w:t xml:space="preserve">, </w:t>
      </w:r>
      <w:bookmarkStart w:id="2" w:name="OLE_LINK7"/>
      <w:bookmarkStart w:id="3" w:name="OLE_LINK8"/>
      <w:proofErr w:type="spellStart"/>
      <w:r>
        <w:rPr>
          <w:rFonts w:ascii="Arial"/>
        </w:rPr>
        <w:t>Qingpu</w:t>
      </w:r>
      <w:proofErr w:type="spellEnd"/>
      <w:r>
        <w:rPr>
          <w:rFonts w:ascii="Arial"/>
        </w:rPr>
        <w:t xml:space="preserve"> Branch of </w:t>
      </w:r>
      <w:proofErr w:type="spellStart"/>
      <w:r w:rsidRPr="00A260AE">
        <w:rPr>
          <w:rFonts w:ascii="Arial"/>
        </w:rPr>
        <w:t>Zhongshan</w:t>
      </w:r>
      <w:proofErr w:type="spellEnd"/>
      <w:r w:rsidRPr="00A260AE">
        <w:rPr>
          <w:rFonts w:ascii="Arial"/>
        </w:rPr>
        <w:t xml:space="preserve"> Hospita</w:t>
      </w:r>
      <w:r>
        <w:rPr>
          <w:rFonts w:ascii="Arial"/>
        </w:rPr>
        <w:t>l</w:t>
      </w:r>
      <w:bookmarkEnd w:id="2"/>
      <w:bookmarkEnd w:id="3"/>
      <w:r w:rsidR="005973B9">
        <w:rPr>
          <w:rFonts w:ascii="Arial"/>
        </w:rPr>
        <w:t xml:space="preserve">, </w:t>
      </w:r>
      <w:proofErr w:type="spellStart"/>
      <w:r w:rsidR="00397BC9">
        <w:rPr>
          <w:rFonts w:ascii="Arial"/>
        </w:rPr>
        <w:t>F</w:t>
      </w:r>
      <w:r w:rsidR="00D77849">
        <w:rPr>
          <w:rFonts w:ascii="Arial"/>
        </w:rPr>
        <w:t>udan</w:t>
      </w:r>
      <w:proofErr w:type="spellEnd"/>
      <w:r w:rsidR="00D77849">
        <w:rPr>
          <w:rFonts w:ascii="Arial"/>
        </w:rPr>
        <w:t xml:space="preserve"> university,</w:t>
      </w:r>
      <w:r w:rsidR="00397BC9">
        <w:rPr>
          <w:rFonts w:ascii="Arial"/>
        </w:rPr>
        <w:t xml:space="preserve"> </w:t>
      </w:r>
      <w:r>
        <w:rPr>
          <w:rFonts w:ascii="Arial"/>
        </w:rPr>
        <w:t>China</w:t>
      </w:r>
    </w:p>
    <w:p w:rsidR="005973B9" w:rsidRDefault="00A260AE" w:rsidP="005973B9">
      <w:pPr>
        <w:pStyle w:val="a3"/>
        <w:spacing w:before="73" w:line="198" w:lineRule="exact"/>
        <w:ind w:left="100" w:right="5987"/>
        <w:rPr>
          <w:rFonts w:ascii="Arial"/>
        </w:rPr>
      </w:pPr>
      <w:proofErr w:type="spellStart"/>
      <w:r>
        <w:rPr>
          <w:rFonts w:ascii="Arial"/>
        </w:rPr>
        <w:t>Zhiyong</w:t>
      </w:r>
      <w:proofErr w:type="spellEnd"/>
      <w:r>
        <w:rPr>
          <w:rFonts w:ascii="Arial"/>
        </w:rPr>
        <w:t xml:space="preserve"> </w:t>
      </w:r>
      <w:proofErr w:type="spellStart"/>
      <w:r>
        <w:rPr>
          <w:rFonts w:ascii="Arial"/>
        </w:rPr>
        <w:t>Ruan</w:t>
      </w:r>
      <w:proofErr w:type="spellEnd"/>
      <w:r w:rsidR="005973B9">
        <w:rPr>
          <w:rFonts w:ascii="Arial"/>
        </w:rPr>
        <w:t xml:space="preserve">, </w:t>
      </w:r>
      <w:r>
        <w:rPr>
          <w:rFonts w:ascii="Arial"/>
        </w:rPr>
        <w:t>M.</w:t>
      </w:r>
      <w:r w:rsidR="005973B9">
        <w:rPr>
          <w:rFonts w:ascii="Arial"/>
        </w:rPr>
        <w:t>D</w:t>
      </w:r>
      <w:r>
        <w:rPr>
          <w:rFonts w:ascii="Arial"/>
        </w:rPr>
        <w:t>.</w:t>
      </w:r>
      <w:r w:rsidR="005973B9">
        <w:rPr>
          <w:rFonts w:ascii="Arial"/>
        </w:rPr>
        <w:t xml:space="preserve">, </w:t>
      </w:r>
      <w:proofErr w:type="spellStart"/>
      <w:r w:rsidRPr="00A260AE">
        <w:rPr>
          <w:rFonts w:ascii="Arial"/>
        </w:rPr>
        <w:t>Qingpu</w:t>
      </w:r>
      <w:proofErr w:type="spellEnd"/>
      <w:r w:rsidRPr="00A260AE">
        <w:rPr>
          <w:rFonts w:ascii="Arial"/>
        </w:rPr>
        <w:t xml:space="preserve"> Branch of </w:t>
      </w:r>
      <w:proofErr w:type="spellStart"/>
      <w:r w:rsidRPr="00A260AE">
        <w:rPr>
          <w:rFonts w:ascii="Arial"/>
        </w:rPr>
        <w:t>Zhongshan</w:t>
      </w:r>
      <w:proofErr w:type="spellEnd"/>
      <w:r w:rsidRPr="00A260AE">
        <w:rPr>
          <w:rFonts w:ascii="Arial"/>
        </w:rPr>
        <w:t xml:space="preserve"> Hospital</w:t>
      </w:r>
      <w:r w:rsidR="005973B9">
        <w:rPr>
          <w:rFonts w:ascii="Arial"/>
        </w:rPr>
        <w:t xml:space="preserve">, </w:t>
      </w:r>
      <w:proofErr w:type="spellStart"/>
      <w:r w:rsidR="00D77849">
        <w:rPr>
          <w:rFonts w:ascii="Arial"/>
        </w:rPr>
        <w:t>Fudan</w:t>
      </w:r>
      <w:proofErr w:type="spellEnd"/>
      <w:r w:rsidR="00D77849">
        <w:rPr>
          <w:rFonts w:ascii="Arial"/>
        </w:rPr>
        <w:t xml:space="preserve"> university, </w:t>
      </w:r>
      <w:r>
        <w:rPr>
          <w:rFonts w:ascii="Arial"/>
        </w:rPr>
        <w:t>China</w:t>
      </w:r>
      <w:r w:rsidR="00D77849">
        <w:rPr>
          <w:rFonts w:ascii="Arial"/>
        </w:rPr>
        <w:t>.</w:t>
      </w:r>
    </w:p>
    <w:p w:rsidR="00AE3E37" w:rsidRDefault="00AE3E37">
      <w:pPr>
        <w:pStyle w:val="a3"/>
        <w:rPr>
          <w:rFonts w:ascii="Arial"/>
          <w:sz w:val="20"/>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rsidR="00AE3E37" w:rsidRPr="00397BC9" w:rsidRDefault="00397BC9" w:rsidP="005E2767">
      <w:pPr>
        <w:pStyle w:val="a3"/>
        <w:spacing w:before="90" w:line="280" w:lineRule="auto"/>
        <w:ind w:left="100"/>
        <w:jc w:val="both"/>
      </w:pPr>
      <w:r w:rsidRPr="00397BC9">
        <w:t>Ovarian cancer G-protein-coupled Receptor 1 (OGR1), an acid-sensitive receptor, plays a key proton-sensing role through stimulation of inositol phosphate formation. Avascular necrosis of the femoral head (ANFH) is characterized by apoptosis of bone cells mainly resulting from deficient local blood perfusion, eventually leading to acidification with disruption of Endothelial progenitor cells’ (EPCs) function. N</w:t>
      </w:r>
      <w:r w:rsidRPr="00397BC9">
        <w:rPr>
          <w:rFonts w:hint="eastAsia"/>
        </w:rPr>
        <w:t>ev</w:t>
      </w:r>
      <w:r w:rsidRPr="00397BC9">
        <w:t xml:space="preserve">ertheless, whether </w:t>
      </w:r>
      <w:bookmarkStart w:id="4" w:name="OLE_LINK20"/>
      <w:r w:rsidRPr="00397BC9">
        <w:t>EPCs</w:t>
      </w:r>
      <w:bookmarkEnd w:id="4"/>
      <w:r w:rsidRPr="00397BC9">
        <w:t xml:space="preserve"> express OGR1 is not </w:t>
      </w:r>
      <w:proofErr w:type="spellStart"/>
      <w:r w:rsidRPr="00397BC9">
        <w:t>cleae</w:t>
      </w:r>
      <w:proofErr w:type="spellEnd"/>
      <w:r w:rsidRPr="00397BC9">
        <w:t>. The current study sought to delineate effects o</w:t>
      </w:r>
      <w:bookmarkStart w:id="5" w:name="OLE_LINK3"/>
      <w:bookmarkStart w:id="6" w:name="OLE_LINK4"/>
      <w:r w:rsidRPr="00397BC9">
        <w:t xml:space="preserve">f OGR1 </w:t>
      </w:r>
      <w:bookmarkEnd w:id="5"/>
      <w:bookmarkEnd w:id="6"/>
      <w:r w:rsidRPr="00397BC9">
        <w:t xml:space="preserve">on proliferation, migration, and angiogenesis in EPCs. FITC-UEA-I and </w:t>
      </w:r>
      <w:proofErr w:type="spellStart"/>
      <w:r w:rsidRPr="00397BC9">
        <w:t>Dil</w:t>
      </w:r>
      <w:proofErr w:type="spellEnd"/>
      <w:r w:rsidRPr="00397BC9">
        <w:t xml:space="preserve">-Ac-LDL double-staining methods were used to identify EPCs. Expression of OGR1 was analyzed by RT-PCR and western blot after incubation in media ranging in pH, cell counting kit-8 and cell cycle analysis were used to analyze proliferation and cell cycle distribution. Scratch test, </w:t>
      </w:r>
      <w:proofErr w:type="spellStart"/>
      <w:r w:rsidRPr="00397BC9">
        <w:t>transwell</w:t>
      </w:r>
      <w:proofErr w:type="spellEnd"/>
      <w:r w:rsidRPr="00397BC9">
        <w:t xml:space="preserve"> migration assay, and tube formation experiments were performed to analyze migration and vascularization of EPCs after silencing OGR1 with siRNA. </w:t>
      </w:r>
      <w:bookmarkStart w:id="7" w:name="OLE_LINK27"/>
      <w:r w:rsidRPr="00397BC9">
        <w:t xml:space="preserve">Our study demonstrated that EPCs were positive for FITC-UEA-I and </w:t>
      </w:r>
      <w:proofErr w:type="spellStart"/>
      <w:r w:rsidRPr="00397BC9">
        <w:t>Dil</w:t>
      </w:r>
      <w:proofErr w:type="spellEnd"/>
      <w:r w:rsidRPr="00397BC9">
        <w:t xml:space="preserve">-Ac-LDL double-staining, and expressed OGR1. Expression of OGR1 increased gradually with decreased pH, and was highest in pH 6.4 medium. </w:t>
      </w:r>
      <w:bookmarkStart w:id="8" w:name="OLE_LINK32"/>
      <w:bookmarkStart w:id="9" w:name="OLE_LINK33"/>
      <w:r w:rsidRPr="00397BC9">
        <w:t>Incubation in pH 6.4 medium inhibited proliferation of EPCs and caused cell cycle arrest</w:t>
      </w:r>
      <w:bookmarkEnd w:id="8"/>
      <w:bookmarkEnd w:id="9"/>
      <w:r w:rsidRPr="00397BC9">
        <w:t>. Silencing of OGR1 using siRNA partially reversed the effect of acidic environment on EPCs. Migration and angiogenesis of EPCs were inhibited in pH 6.4 medium, and silencing of OGR1 partially reversed this effect.</w:t>
      </w:r>
      <w:bookmarkEnd w:id="7"/>
      <w:r w:rsidRPr="00397BC9">
        <w:t xml:space="preserve"> The results demonstrated EPCs express the OGR1, and the OGR1 mediated the effects of acidic environment on proliferation, migration, and angiogenesis of EPCs.</w:t>
      </w:r>
    </w:p>
    <w:p w:rsidR="00AE3E37" w:rsidRDefault="00D86D62">
      <w:pPr>
        <w:pStyle w:val="3"/>
        <w:spacing w:before="74"/>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1.95pt;margin-top:138.6pt;width:54.75pt;height:82.45pt;z-index:251659264;mso-position-horizontal-relative:text;mso-position-vertical-relative:text;mso-width-relative:page;mso-height-relative:page">
            <v:imagedata r:id="rId9" o:title="证件照白底"/>
          </v:shape>
        </w:pict>
      </w:r>
      <w:r w:rsidR="00A9710C">
        <w:rPr>
          <w:b w:val="0"/>
        </w:rPr>
        <w:br w:type="column"/>
      </w:r>
      <w:r w:rsidR="00A9710C">
        <w:rPr>
          <w:color w:val="BF5A14"/>
        </w:rPr>
        <w:lastRenderedPageBreak/>
        <w:t>Image</w:t>
      </w:r>
    </w:p>
    <w:p w:rsidR="005973B9" w:rsidRPr="00E94A89" w:rsidRDefault="00800110" w:rsidP="00E94A89">
      <w:pPr>
        <w:pStyle w:val="a3"/>
        <w:spacing w:before="2"/>
        <w:rPr>
          <w:rFonts w:ascii="Arial"/>
          <w:b/>
          <w:sz w:val="16"/>
        </w:rPr>
      </w:pPr>
      <w:bookmarkStart w:id="10" w:name="_GoBack"/>
      <w:r>
        <w:rPr>
          <w:lang w:eastAsia="zh-CN"/>
        </w:rPr>
        <w:pict>
          <v:shape id="_x0000_i1027" type="#_x0000_t75" style="width:239pt;height:291.5pt">
            <v:imagedata r:id="rId10" o:title="OGR1"/>
          </v:shape>
        </w:pict>
      </w:r>
      <w:bookmarkEnd w:id="10"/>
      <w:r w:rsidR="005973B9">
        <w:rPr>
          <w:rFonts w:ascii="Arial"/>
          <w:b/>
          <w:color w:val="BF5A14"/>
          <w:sz w:val="20"/>
        </w:rPr>
        <w:br/>
        <w:t>Recent Publications (minimum 5)</w:t>
      </w:r>
    </w:p>
    <w:p w:rsidR="005973B9" w:rsidRDefault="001122C3" w:rsidP="00800110">
      <w:pPr>
        <w:pStyle w:val="a5"/>
        <w:numPr>
          <w:ilvl w:val="0"/>
          <w:numId w:val="3"/>
        </w:numPr>
        <w:tabs>
          <w:tab w:val="left" w:pos="384"/>
        </w:tabs>
        <w:spacing w:before="103" w:line="240" w:lineRule="auto"/>
        <w:ind w:right="138" w:hanging="283"/>
        <w:rPr>
          <w:sz w:val="18"/>
        </w:rPr>
      </w:pPr>
      <w:proofErr w:type="spellStart"/>
      <w:r w:rsidRPr="001122C3">
        <w:rPr>
          <w:sz w:val="18"/>
        </w:rPr>
        <w:t>Guerado</w:t>
      </w:r>
      <w:proofErr w:type="spellEnd"/>
      <w:r w:rsidRPr="001122C3">
        <w:rPr>
          <w:sz w:val="18"/>
        </w:rPr>
        <w:t xml:space="preserve">, E., &amp; </w:t>
      </w:r>
      <w:proofErr w:type="spellStart"/>
      <w:r w:rsidRPr="001122C3">
        <w:rPr>
          <w:sz w:val="18"/>
        </w:rPr>
        <w:t>Caso</w:t>
      </w:r>
      <w:proofErr w:type="spellEnd"/>
      <w:r w:rsidRPr="001122C3">
        <w:rPr>
          <w:sz w:val="18"/>
        </w:rPr>
        <w:t xml:space="preserve">, E. (2016). </w:t>
      </w:r>
      <w:bookmarkStart w:id="11" w:name="OLE_LINK1"/>
      <w:bookmarkStart w:id="12" w:name="OLE_LINK2"/>
      <w:r w:rsidRPr="001122C3">
        <w:rPr>
          <w:sz w:val="18"/>
        </w:rPr>
        <w:t>The physiopathology of avascular necrosis of the femoral head</w:t>
      </w:r>
      <w:bookmarkEnd w:id="11"/>
      <w:bookmarkEnd w:id="12"/>
      <w:r w:rsidRPr="001122C3">
        <w:rPr>
          <w:sz w:val="18"/>
        </w:rPr>
        <w:t>: an update. Injury, 47, S16-S26.</w:t>
      </w:r>
    </w:p>
    <w:p w:rsidR="005973B9" w:rsidRDefault="001122C3" w:rsidP="00800110">
      <w:pPr>
        <w:pStyle w:val="a5"/>
        <w:numPr>
          <w:ilvl w:val="0"/>
          <w:numId w:val="3"/>
        </w:numPr>
        <w:tabs>
          <w:tab w:val="left" w:pos="384"/>
        </w:tabs>
        <w:spacing w:line="240" w:lineRule="auto"/>
        <w:ind w:right="137" w:hanging="283"/>
        <w:rPr>
          <w:sz w:val="18"/>
        </w:rPr>
      </w:pPr>
      <w:r w:rsidRPr="001122C3">
        <w:rPr>
          <w:sz w:val="18"/>
        </w:rPr>
        <w:t xml:space="preserve">Ludwig, M. G., </w:t>
      </w:r>
      <w:proofErr w:type="spellStart"/>
      <w:r w:rsidRPr="001122C3">
        <w:rPr>
          <w:sz w:val="18"/>
        </w:rPr>
        <w:t>Vanek</w:t>
      </w:r>
      <w:proofErr w:type="spellEnd"/>
      <w:r w:rsidRPr="001122C3">
        <w:rPr>
          <w:sz w:val="18"/>
        </w:rPr>
        <w:t xml:space="preserve">, M., </w:t>
      </w:r>
      <w:proofErr w:type="spellStart"/>
      <w:r w:rsidRPr="001122C3">
        <w:rPr>
          <w:sz w:val="18"/>
        </w:rPr>
        <w:t>Guerini</w:t>
      </w:r>
      <w:proofErr w:type="spellEnd"/>
      <w:r w:rsidRPr="001122C3">
        <w:rPr>
          <w:sz w:val="18"/>
        </w:rPr>
        <w:t xml:space="preserve">, D., Gasser, </w:t>
      </w:r>
      <w:proofErr w:type="spellStart"/>
      <w:r w:rsidRPr="001122C3">
        <w:rPr>
          <w:sz w:val="18"/>
        </w:rPr>
        <w:t>Jürg</w:t>
      </w:r>
      <w:proofErr w:type="spellEnd"/>
      <w:r w:rsidRPr="001122C3">
        <w:rPr>
          <w:sz w:val="18"/>
        </w:rPr>
        <w:t xml:space="preserve"> A., Jones, C. E., &amp; Junker, U., et al. (2003). </w:t>
      </w:r>
      <w:bookmarkStart w:id="13" w:name="OLE_LINK77"/>
      <w:bookmarkStart w:id="14" w:name="OLE_LINK78"/>
      <w:r w:rsidRPr="001122C3">
        <w:rPr>
          <w:sz w:val="18"/>
        </w:rPr>
        <w:t>Proton-sensing g-protein-coupled receptors</w:t>
      </w:r>
      <w:bookmarkEnd w:id="13"/>
      <w:bookmarkEnd w:id="14"/>
      <w:r w:rsidRPr="001122C3">
        <w:rPr>
          <w:sz w:val="18"/>
        </w:rPr>
        <w:t>. </w:t>
      </w:r>
      <w:r w:rsidRPr="001122C3">
        <w:rPr>
          <w:i/>
          <w:iCs/>
          <w:sz w:val="18"/>
        </w:rPr>
        <w:t>Nature,</w:t>
      </w:r>
      <w:r w:rsidRPr="001122C3">
        <w:rPr>
          <w:sz w:val="18"/>
        </w:rPr>
        <w:t> </w:t>
      </w:r>
      <w:r w:rsidRPr="001122C3">
        <w:rPr>
          <w:i/>
          <w:iCs/>
          <w:sz w:val="18"/>
        </w:rPr>
        <w:t>425</w:t>
      </w:r>
      <w:r w:rsidRPr="001122C3">
        <w:rPr>
          <w:sz w:val="18"/>
        </w:rPr>
        <w:t>(6953), 93-98.</w:t>
      </w:r>
    </w:p>
    <w:p w:rsidR="005973B9" w:rsidRDefault="001122C3" w:rsidP="00800110">
      <w:pPr>
        <w:pStyle w:val="a5"/>
        <w:numPr>
          <w:ilvl w:val="0"/>
          <w:numId w:val="3"/>
        </w:numPr>
        <w:tabs>
          <w:tab w:val="left" w:pos="384"/>
        </w:tabs>
        <w:spacing w:line="240" w:lineRule="auto"/>
        <w:ind w:right="138" w:hanging="283"/>
        <w:rPr>
          <w:sz w:val="18"/>
        </w:rPr>
      </w:pPr>
      <w:r w:rsidRPr="001122C3">
        <w:rPr>
          <w:sz w:val="18"/>
        </w:rPr>
        <w:t>Qin, M., Guan, X., Wang, H., Zhang, Y., Shen, B., &amp; Zhang, Q., et al. (2017). An effective ex-vivo approach for inducing endothelial progenitor cells from umbilical cord blood CD</w:t>
      </w:r>
      <w:r w:rsidRPr="001122C3">
        <w:rPr>
          <w:sz w:val="18"/>
          <w:vertAlign w:val="superscript"/>
        </w:rPr>
        <w:t>34+</w:t>
      </w:r>
      <w:r w:rsidRPr="001122C3">
        <w:rPr>
          <w:sz w:val="18"/>
        </w:rPr>
        <w:t xml:space="preserve"> cells. </w:t>
      </w:r>
      <w:r w:rsidRPr="001122C3">
        <w:rPr>
          <w:i/>
          <w:iCs/>
          <w:sz w:val="18"/>
        </w:rPr>
        <w:t>Stem Cell Research &amp; Therapy,</w:t>
      </w:r>
      <w:r w:rsidRPr="001122C3">
        <w:rPr>
          <w:sz w:val="18"/>
        </w:rPr>
        <w:t> </w:t>
      </w:r>
      <w:r w:rsidRPr="001122C3">
        <w:rPr>
          <w:i/>
          <w:iCs/>
          <w:sz w:val="18"/>
        </w:rPr>
        <w:t>8</w:t>
      </w:r>
      <w:r w:rsidRPr="001122C3">
        <w:rPr>
          <w:sz w:val="18"/>
        </w:rPr>
        <w:t>(1), 25.</w:t>
      </w:r>
    </w:p>
    <w:p w:rsidR="005973B9" w:rsidRPr="00B203BD" w:rsidRDefault="001122C3" w:rsidP="00800110">
      <w:pPr>
        <w:pStyle w:val="a5"/>
        <w:numPr>
          <w:ilvl w:val="0"/>
          <w:numId w:val="3"/>
        </w:numPr>
        <w:tabs>
          <w:tab w:val="left" w:pos="384"/>
        </w:tabs>
        <w:spacing w:before="92" w:line="240" w:lineRule="auto"/>
        <w:ind w:hanging="283"/>
        <w:rPr>
          <w:sz w:val="18"/>
        </w:rPr>
      </w:pPr>
      <w:r w:rsidRPr="001122C3">
        <w:rPr>
          <w:sz w:val="18"/>
        </w:rPr>
        <w:t>Edward Zhou, X., Melcher, K., &amp; Eric Xu, H. (2018). Structural biology of G protein‐coupled receptor signaling complexes. </w:t>
      </w:r>
      <w:r w:rsidRPr="001122C3">
        <w:rPr>
          <w:i/>
          <w:iCs/>
          <w:sz w:val="18"/>
        </w:rPr>
        <w:t>Protein Science</w:t>
      </w:r>
      <w:r w:rsidRPr="001122C3">
        <w:rPr>
          <w:sz w:val="18"/>
        </w:rPr>
        <w:t>.</w:t>
      </w:r>
    </w:p>
    <w:p w:rsidR="00AE3E37" w:rsidRDefault="001122C3" w:rsidP="00800110">
      <w:pPr>
        <w:pStyle w:val="a3"/>
        <w:numPr>
          <w:ilvl w:val="0"/>
          <w:numId w:val="3"/>
        </w:numPr>
        <w:spacing w:before="85"/>
        <w:ind w:right="138"/>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sidRPr="001122C3">
        <w:rPr>
          <w:rFonts w:ascii="Calibri" w:hAnsi="Calibri"/>
        </w:rPr>
        <w:t xml:space="preserve">Wang, J. Q., </w:t>
      </w:r>
      <w:proofErr w:type="spellStart"/>
      <w:r w:rsidRPr="001122C3">
        <w:rPr>
          <w:rFonts w:ascii="Calibri" w:hAnsi="Calibri"/>
        </w:rPr>
        <w:t>Kon</w:t>
      </w:r>
      <w:proofErr w:type="spellEnd"/>
      <w:r w:rsidRPr="001122C3">
        <w:rPr>
          <w:rFonts w:ascii="Calibri" w:hAnsi="Calibri"/>
        </w:rPr>
        <w:t xml:space="preserve">, J., Mogi, C., </w:t>
      </w:r>
      <w:proofErr w:type="spellStart"/>
      <w:r w:rsidRPr="001122C3">
        <w:rPr>
          <w:rFonts w:ascii="Calibri" w:hAnsi="Calibri"/>
        </w:rPr>
        <w:t>Tobo</w:t>
      </w:r>
      <w:proofErr w:type="spellEnd"/>
      <w:r w:rsidRPr="001122C3">
        <w:rPr>
          <w:rFonts w:ascii="Calibri" w:hAnsi="Calibri"/>
        </w:rPr>
        <w:t xml:space="preserve">, M., </w:t>
      </w:r>
      <w:proofErr w:type="spellStart"/>
      <w:r w:rsidRPr="001122C3">
        <w:rPr>
          <w:rFonts w:ascii="Calibri" w:hAnsi="Calibri"/>
        </w:rPr>
        <w:t>Damirin</w:t>
      </w:r>
      <w:proofErr w:type="spellEnd"/>
      <w:r w:rsidRPr="001122C3">
        <w:rPr>
          <w:rFonts w:ascii="Calibri" w:hAnsi="Calibri"/>
        </w:rPr>
        <w:t xml:space="preserve">, A., Sato, K., ... &amp; </w:t>
      </w:r>
      <w:proofErr w:type="spellStart"/>
      <w:r w:rsidRPr="001122C3">
        <w:rPr>
          <w:rFonts w:ascii="Calibri" w:hAnsi="Calibri"/>
        </w:rPr>
        <w:t>Kuwabara</w:t>
      </w:r>
      <w:proofErr w:type="spellEnd"/>
      <w:r w:rsidRPr="001122C3">
        <w:rPr>
          <w:rFonts w:ascii="Calibri" w:hAnsi="Calibri"/>
        </w:rPr>
        <w:t xml:space="preserve">, A. (2004). </w:t>
      </w:r>
      <w:bookmarkStart w:id="15" w:name="OLE_LINK127"/>
      <w:bookmarkStart w:id="16" w:name="OLE_LINK128"/>
      <w:r w:rsidRPr="001122C3">
        <w:rPr>
          <w:rFonts w:ascii="Calibri" w:hAnsi="Calibri"/>
        </w:rPr>
        <w:t xml:space="preserve">TDAG8 is a proton-sensing and </w:t>
      </w:r>
      <w:proofErr w:type="spellStart"/>
      <w:r w:rsidRPr="001122C3">
        <w:rPr>
          <w:rFonts w:ascii="Calibri" w:hAnsi="Calibri"/>
        </w:rPr>
        <w:t>psychosine</w:t>
      </w:r>
      <w:proofErr w:type="spellEnd"/>
      <w:r w:rsidRPr="001122C3">
        <w:rPr>
          <w:rFonts w:ascii="Calibri" w:hAnsi="Calibri"/>
        </w:rPr>
        <w:t>-sensitive G-protein-coupled receptor</w:t>
      </w:r>
      <w:bookmarkEnd w:id="15"/>
      <w:bookmarkEnd w:id="16"/>
      <w:r w:rsidRPr="001122C3">
        <w:rPr>
          <w:rFonts w:ascii="Calibri" w:hAnsi="Calibri"/>
        </w:rPr>
        <w:t>. </w:t>
      </w:r>
      <w:r w:rsidRPr="001122C3">
        <w:rPr>
          <w:rFonts w:ascii="Calibri" w:hAnsi="Calibri"/>
          <w:i/>
          <w:iCs/>
        </w:rPr>
        <w:t>Journal of Biological Chemistry</w:t>
      </w:r>
      <w:r w:rsidRPr="001122C3">
        <w:rPr>
          <w:rFonts w:ascii="Calibri" w:hAnsi="Calibri"/>
        </w:rPr>
        <w:t>, </w:t>
      </w:r>
      <w:r w:rsidRPr="001122C3">
        <w:rPr>
          <w:rFonts w:ascii="Calibri" w:hAnsi="Calibri"/>
          <w:i/>
          <w:iCs/>
        </w:rPr>
        <w:t>279</w:t>
      </w:r>
      <w:r>
        <w:rPr>
          <w:rFonts w:ascii="Calibri" w:hAnsi="Calibri"/>
        </w:rPr>
        <w:t>(44),</w:t>
      </w:r>
      <w:r w:rsidRPr="001122C3">
        <w:rPr>
          <w:rFonts w:ascii="Calibri" w:hAnsi="Calibri"/>
        </w:rPr>
        <w:t>45626-45633.</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zh-CN"/>
        </w:rPr>
        <mc:AlternateContent>
          <mc:Choice Requires="wpg">
            <w:drawing>
              <wp:inline distT="0" distB="0" distL="0" distR="0" wp14:anchorId="609C0A0B" wp14:editId="5D3A35E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F06563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t xml:space="preserve">              </w:t>
      </w:r>
      <w:r w:rsidR="008A0D8B">
        <w:t xml:space="preserve">        </w:t>
      </w:r>
      <w:r w:rsidR="00EE4F03">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AE3E37" w:rsidRDefault="000C2BE0">
      <w:pPr>
        <w:spacing w:before="41" w:line="154" w:lineRule="exact"/>
        <w:ind w:left="213" w:right="231"/>
        <w:jc w:val="both"/>
        <w:rPr>
          <w:rFonts w:ascii="Arial"/>
          <w:sz w:val="14"/>
        </w:rPr>
      </w:pPr>
      <w:proofErr w:type="spellStart"/>
      <w:r>
        <w:rPr>
          <w:rFonts w:ascii="Arial"/>
          <w:sz w:val="14"/>
        </w:rPr>
        <w:t>Shenglong</w:t>
      </w:r>
      <w:proofErr w:type="spellEnd"/>
      <w:r>
        <w:rPr>
          <w:rFonts w:ascii="Arial"/>
          <w:sz w:val="14"/>
        </w:rPr>
        <w:t xml:space="preserve"> Ding</w:t>
      </w:r>
      <w:r w:rsidR="00317AEB">
        <w:rPr>
          <w:rFonts w:ascii="Arial"/>
          <w:sz w:val="14"/>
        </w:rPr>
        <w:t xml:space="preserve">, a </w:t>
      </w:r>
      <w:r w:rsidR="00317AEB" w:rsidRPr="00317AEB">
        <w:rPr>
          <w:rFonts w:ascii="Arial"/>
          <w:sz w:val="14"/>
        </w:rPr>
        <w:t>graduate student in orthopedics</w:t>
      </w:r>
      <w:r w:rsidR="00317AEB">
        <w:rPr>
          <w:rFonts w:ascii="Arial"/>
          <w:sz w:val="14"/>
        </w:rPr>
        <w:t xml:space="preserve"> </w:t>
      </w:r>
      <w:r w:rsidR="00317AEB" w:rsidRPr="00317AEB">
        <w:rPr>
          <w:rFonts w:ascii="Arial"/>
          <w:sz w:val="14"/>
        </w:rPr>
        <w:t>at Shanghai Me</w:t>
      </w:r>
      <w:r w:rsidR="00317AEB">
        <w:rPr>
          <w:rFonts w:ascii="Arial"/>
          <w:sz w:val="14"/>
        </w:rPr>
        <w:t xml:space="preserve">dical College, </w:t>
      </w:r>
      <w:proofErr w:type="spellStart"/>
      <w:r w:rsidR="00317AEB">
        <w:rPr>
          <w:rFonts w:ascii="Arial"/>
          <w:sz w:val="14"/>
        </w:rPr>
        <w:t>Fudan</w:t>
      </w:r>
      <w:proofErr w:type="spellEnd"/>
      <w:r w:rsidR="00317AEB">
        <w:rPr>
          <w:rFonts w:ascii="Arial"/>
          <w:sz w:val="14"/>
        </w:rPr>
        <w:t xml:space="preserve"> University,</w:t>
      </w:r>
      <w:r w:rsidR="00A9710C">
        <w:rPr>
          <w:rFonts w:ascii="Arial"/>
          <w:sz w:val="14"/>
        </w:rPr>
        <w:t xml:space="preserve"> has h</w:t>
      </w:r>
      <w:r>
        <w:rPr>
          <w:rFonts w:ascii="Arial"/>
          <w:sz w:val="14"/>
        </w:rPr>
        <w:t>is</w:t>
      </w:r>
      <w:r w:rsidR="00A9710C">
        <w:rPr>
          <w:rFonts w:ascii="Arial"/>
          <w:sz w:val="14"/>
        </w:rPr>
        <w:t xml:space="preserve"> expertise in</w:t>
      </w:r>
      <w:r w:rsidRPr="000C2BE0">
        <w:t xml:space="preserve"> </w:t>
      </w:r>
      <w:r w:rsidRPr="000C2BE0">
        <w:rPr>
          <w:rFonts w:ascii="Arial"/>
          <w:sz w:val="14"/>
        </w:rPr>
        <w:t>Intervertebral disc degeneration</w:t>
      </w:r>
      <w:r>
        <w:rPr>
          <w:rFonts w:ascii="Arial"/>
          <w:sz w:val="14"/>
        </w:rPr>
        <w:t xml:space="preserve"> and</w:t>
      </w:r>
      <w:r w:rsidR="00E67A25" w:rsidRPr="00E67A25">
        <w:t xml:space="preserve"> </w:t>
      </w:r>
      <w:r w:rsidR="00E67A25">
        <w:rPr>
          <w:rFonts w:ascii="Arial"/>
          <w:sz w:val="14"/>
        </w:rPr>
        <w:t>b</w:t>
      </w:r>
      <w:r w:rsidR="00E67A25" w:rsidRPr="00E67A25">
        <w:rPr>
          <w:rFonts w:ascii="Arial"/>
          <w:sz w:val="14"/>
        </w:rPr>
        <w:t>iomaterials field</w:t>
      </w:r>
      <w:r w:rsidR="00A9710C">
        <w:rPr>
          <w:rFonts w:ascii="Arial"/>
          <w:sz w:val="14"/>
        </w:rPr>
        <w:t xml:space="preserve">. </w:t>
      </w:r>
      <w:r w:rsidR="006D0155" w:rsidRPr="006D0155">
        <w:rPr>
          <w:rFonts w:ascii="Arial"/>
          <w:sz w:val="14"/>
        </w:rPr>
        <w:t>He h</w:t>
      </w:r>
      <w:r w:rsidR="006D0155">
        <w:rPr>
          <w:rFonts w:ascii="Arial"/>
          <w:sz w:val="14"/>
        </w:rPr>
        <w:t xml:space="preserve">as published articles entitled </w:t>
      </w:r>
      <w:r w:rsidR="003108BE">
        <w:rPr>
          <w:rFonts w:ascii="Arial"/>
          <w:sz w:val="14"/>
        </w:rPr>
        <w:t>“</w:t>
      </w:r>
      <w:r w:rsidR="003108BE" w:rsidRPr="00317AEB">
        <w:rPr>
          <w:rFonts w:ascii="Arial"/>
          <w:i/>
          <w:sz w:val="14"/>
        </w:rPr>
        <w:t>Salt</w:t>
      </w:r>
      <w:r w:rsidR="006D0155" w:rsidRPr="00317AEB">
        <w:rPr>
          <w:rFonts w:ascii="Arial"/>
          <w:i/>
          <w:sz w:val="14"/>
        </w:rPr>
        <w:t>-</w:t>
      </w:r>
      <w:r w:rsidR="006D0155" w:rsidRPr="006D0155">
        <w:rPr>
          <w:rFonts w:ascii="Arial"/>
          <w:i/>
          <w:sz w:val="14"/>
        </w:rPr>
        <w:t>assisted toughening of protein hydrogel with controlled degradation for bone regeneration</w:t>
      </w:r>
      <w:r w:rsidR="006D0155" w:rsidRPr="006D0155">
        <w:rPr>
          <w:rFonts w:ascii="Arial"/>
          <w:sz w:val="14"/>
        </w:rPr>
        <w:t>"</w:t>
      </w:r>
      <w:r w:rsidR="003108BE">
        <w:rPr>
          <w:rFonts w:ascii="Arial"/>
          <w:sz w:val="14"/>
        </w:rPr>
        <w:t>(</w:t>
      </w:r>
      <w:r w:rsidR="003108BE" w:rsidRPr="003108BE">
        <w:rPr>
          <w:rFonts w:ascii="Arial" w:hAnsi="Arial" w:cs="Arial"/>
          <w:sz w:val="14"/>
          <w:szCs w:val="14"/>
        </w:rPr>
        <w:t>online</w:t>
      </w:r>
      <w:r w:rsidR="003108BE">
        <w:rPr>
          <w:rFonts w:ascii="Arial" w:hAnsi="Arial" w:cs="Arial"/>
          <w:sz w:val="14"/>
          <w:szCs w:val="14"/>
        </w:rPr>
        <w:t xml:space="preserve"> in</w:t>
      </w:r>
      <w:r w:rsidR="003108BE">
        <w:rPr>
          <w:rFonts w:ascii="Arial" w:hAnsi="Arial" w:cs="Arial"/>
          <w:sz w:val="15"/>
        </w:rPr>
        <w:t xml:space="preserve"> </w:t>
      </w:r>
      <w:r w:rsidR="003108BE" w:rsidRPr="003108BE">
        <w:rPr>
          <w:rFonts w:ascii="Arial"/>
          <w:sz w:val="14"/>
        </w:rPr>
        <w:t>April</w:t>
      </w:r>
      <w:r w:rsidR="003108BE">
        <w:rPr>
          <w:rFonts w:ascii="Arial"/>
          <w:sz w:val="14"/>
        </w:rPr>
        <w:t xml:space="preserve"> 2019; </w:t>
      </w:r>
      <w:r w:rsidR="003108BE" w:rsidRPr="003108BE">
        <w:rPr>
          <w:rFonts w:ascii="Arial"/>
          <w:b/>
          <w:i/>
          <w:sz w:val="14"/>
        </w:rPr>
        <w:t>Advanced Functional Materials</w:t>
      </w:r>
      <w:r w:rsidR="003108BE">
        <w:rPr>
          <w:rFonts w:ascii="Arial"/>
          <w:sz w:val="14"/>
        </w:rPr>
        <w:t>; IF=13.5</w:t>
      </w:r>
      <w:r w:rsidR="003108BE" w:rsidRPr="003108BE">
        <w:rPr>
          <w:rFonts w:ascii="Arial"/>
          <w:sz w:val="14"/>
        </w:rPr>
        <w:t>)</w:t>
      </w:r>
      <w:r w:rsidR="006D0155" w:rsidRPr="006D0155">
        <w:rPr>
          <w:rFonts w:ascii="Arial"/>
          <w:sz w:val="14"/>
        </w:rPr>
        <w:t xml:space="preserve"> and "</w:t>
      </w:r>
      <w:r w:rsidR="006D0155" w:rsidRPr="006D0155">
        <w:t xml:space="preserve"> </w:t>
      </w:r>
      <w:proofErr w:type="spellStart"/>
      <w:r w:rsidR="006D0155" w:rsidRPr="00317AEB">
        <w:rPr>
          <w:rFonts w:ascii="Arial"/>
          <w:i/>
          <w:sz w:val="14"/>
        </w:rPr>
        <w:t>Bombyx</w:t>
      </w:r>
      <w:proofErr w:type="spellEnd"/>
      <w:r w:rsidR="006D0155" w:rsidRPr="00317AEB">
        <w:rPr>
          <w:rFonts w:ascii="Arial"/>
          <w:i/>
          <w:sz w:val="14"/>
        </w:rPr>
        <w:t xml:space="preserve"> </w:t>
      </w:r>
      <w:proofErr w:type="spellStart"/>
      <w:r w:rsidR="006D0155" w:rsidRPr="00317AEB">
        <w:rPr>
          <w:rFonts w:ascii="Arial"/>
          <w:i/>
          <w:sz w:val="14"/>
        </w:rPr>
        <w:t>mori</w:t>
      </w:r>
      <w:proofErr w:type="spellEnd"/>
      <w:r w:rsidR="006D0155" w:rsidRPr="00317AEB">
        <w:rPr>
          <w:rFonts w:ascii="Arial"/>
          <w:i/>
          <w:sz w:val="14"/>
        </w:rPr>
        <w:t xml:space="preserve"> Silk Based Materials with Implication in Skin Repair: </w:t>
      </w:r>
      <w:proofErr w:type="spellStart"/>
      <w:r w:rsidR="006D0155" w:rsidRPr="00317AEB">
        <w:rPr>
          <w:rFonts w:ascii="Arial"/>
          <w:i/>
          <w:sz w:val="14"/>
        </w:rPr>
        <w:t>Sericin</w:t>
      </w:r>
      <w:proofErr w:type="spellEnd"/>
      <w:r w:rsidR="006D0155" w:rsidRPr="00317AEB">
        <w:rPr>
          <w:rFonts w:ascii="Arial"/>
          <w:i/>
          <w:sz w:val="14"/>
        </w:rPr>
        <w:t xml:space="preserve"> versus Regenerated Silk Fibroin</w:t>
      </w:r>
      <w:r w:rsidR="006D0155" w:rsidRPr="006D0155">
        <w:rPr>
          <w:rFonts w:ascii="Arial"/>
          <w:sz w:val="14"/>
        </w:rPr>
        <w:t xml:space="preserve"> "</w:t>
      </w:r>
      <w:r w:rsidR="003108BE">
        <w:rPr>
          <w:rFonts w:ascii="Arial"/>
          <w:sz w:val="14"/>
        </w:rPr>
        <w:t xml:space="preserve">(online in April 2019; </w:t>
      </w:r>
      <w:r w:rsidR="003108BE" w:rsidRPr="00317AEB">
        <w:rPr>
          <w:rFonts w:ascii="Arial"/>
          <w:b/>
          <w:sz w:val="14"/>
        </w:rPr>
        <w:t>Journal of Biomaterials Applications</w:t>
      </w:r>
      <w:r w:rsidR="003108BE">
        <w:rPr>
          <w:rFonts w:ascii="Arial"/>
          <w:sz w:val="14"/>
        </w:rPr>
        <w:t>; IF=2.35)</w:t>
      </w:r>
      <w:r w:rsidR="006D0155" w:rsidRPr="006D0155">
        <w:rPr>
          <w:rFonts w:ascii="Arial"/>
          <w:sz w:val="14"/>
        </w:rPr>
        <w:t xml:space="preserve"> in the field of materials. </w:t>
      </w:r>
      <w:r w:rsidR="00475886" w:rsidRPr="00475886">
        <w:rPr>
          <w:rFonts w:ascii="Arial"/>
          <w:sz w:val="14"/>
        </w:rPr>
        <w:t xml:space="preserve">He is also </w:t>
      </w:r>
      <w:r w:rsidR="00475886">
        <w:rPr>
          <w:rFonts w:ascii="Arial"/>
          <w:sz w:val="14"/>
        </w:rPr>
        <w:t>focused on</w:t>
      </w:r>
      <w:r w:rsidR="00475886" w:rsidRPr="00475886">
        <w:rPr>
          <w:rFonts w:ascii="Arial"/>
          <w:sz w:val="14"/>
        </w:rPr>
        <w:t xml:space="preserve"> problems </w:t>
      </w:r>
      <w:r w:rsidR="00475886">
        <w:rPr>
          <w:rFonts w:ascii="Arial"/>
          <w:sz w:val="14"/>
        </w:rPr>
        <w:t>of</w:t>
      </w:r>
      <w:r w:rsidR="00475886" w:rsidRPr="00475886">
        <w:rPr>
          <w:rFonts w:ascii="Arial"/>
          <w:sz w:val="14"/>
        </w:rPr>
        <w:t xml:space="preserve"> clinical work, and his article entitled </w:t>
      </w:r>
      <w:r w:rsidR="00317AEB">
        <w:rPr>
          <w:rFonts w:ascii="Arial"/>
          <w:sz w:val="14"/>
        </w:rPr>
        <w:t>“</w:t>
      </w:r>
      <w:r w:rsidR="00317AEB" w:rsidRPr="00317AEB">
        <w:rPr>
          <w:rFonts w:ascii="Arial"/>
          <w:i/>
          <w:sz w:val="14"/>
        </w:rPr>
        <w:t>Two application modes of pedicle screw-rod fixator for anterior pelvic ring fractures: a retrospective study</w:t>
      </w:r>
      <w:r w:rsidR="00317AEB">
        <w:rPr>
          <w:rFonts w:ascii="Arial"/>
          <w:sz w:val="14"/>
        </w:rPr>
        <w:t>”</w:t>
      </w:r>
      <w:r w:rsidR="00475886" w:rsidRPr="00475886">
        <w:rPr>
          <w:rFonts w:ascii="Arial"/>
          <w:sz w:val="14"/>
        </w:rPr>
        <w:t xml:space="preserve"> has just been received</w:t>
      </w:r>
      <w:r w:rsidR="00317AEB">
        <w:rPr>
          <w:rFonts w:ascii="Arial"/>
          <w:sz w:val="14"/>
        </w:rPr>
        <w:t xml:space="preserve"> by </w:t>
      </w:r>
      <w:r w:rsidR="00317AEB" w:rsidRPr="00317AEB">
        <w:rPr>
          <w:rFonts w:ascii="Arial"/>
          <w:b/>
          <w:i/>
          <w:sz w:val="14"/>
        </w:rPr>
        <w:t>Journal of International Medical Research</w:t>
      </w:r>
      <w:r w:rsidR="00475886" w:rsidRPr="00475886">
        <w:rPr>
          <w:rFonts w:ascii="Arial"/>
          <w:sz w:val="14"/>
        </w:rPr>
        <w:t xml:space="preserve">. </w:t>
      </w:r>
    </w:p>
    <w:p w:rsidR="00AE3E37" w:rsidRPr="00EE4F03" w:rsidRDefault="00A9710C" w:rsidP="00EE4F03">
      <w:pPr>
        <w:spacing w:before="62"/>
        <w:ind w:left="4217" w:right="4235"/>
        <w:jc w:val="center"/>
        <w:rPr>
          <w:rFonts w:ascii="Arial"/>
          <w:sz w:val="14"/>
        </w:rPr>
      </w:pPr>
      <w:r>
        <w:rPr>
          <w:rFonts w:ascii="Arial"/>
          <w:sz w:val="14"/>
        </w:rPr>
        <w:t xml:space="preserve">Email: </w:t>
      </w:r>
      <w:r w:rsidR="00261C41" w:rsidRPr="00261C41">
        <w:rPr>
          <w:rFonts w:ascii="Arial"/>
          <w:sz w:val="14"/>
        </w:rPr>
        <w:t>17211350004@fudan.edu.cn</w:t>
      </w:r>
      <w:r w:rsidR="00261C41">
        <w:rPr>
          <w:rFonts w:ascii="Arial"/>
          <w:sz w:val="14"/>
        </w:rPr>
        <w:t xml:space="preserve"> </w:t>
      </w:r>
      <w:r w:rsidR="00292ED9">
        <w:rPr>
          <w:noProof/>
          <w:lang w:eastAsia="zh-CN"/>
        </w:rPr>
        <mc:AlternateContent>
          <mc:Choice Requires="wps">
            <w:drawing>
              <wp:anchor distT="0" distB="0" distL="0" distR="0" simplePos="0" relativeHeight="251657728" behindDoc="0" locked="0" layoutInCell="1" allowOverlap="1" wp14:anchorId="7F6B3032" wp14:editId="4E24F110">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247578" id="Line 3" o:spid="_x0000_s1026" style="position:absolute;left:0;text-align:lef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21A57" w:rsidRDefault="00A9710C">
      <w:pPr>
        <w:spacing w:before="39"/>
        <w:ind w:left="100"/>
        <w:rPr>
          <w:rFonts w:ascii="Minion Pro"/>
          <w:b/>
          <w:sz w:val="20"/>
        </w:rPr>
      </w:pPr>
      <w:r w:rsidRPr="00B21A57">
        <w:rPr>
          <w:rFonts w:ascii="Minion Pro"/>
          <w:b/>
          <w:sz w:val="20"/>
        </w:rPr>
        <w:lastRenderedPageBreak/>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6D62" w:rsidRDefault="00D86D62">
      <w:r>
        <w:separator/>
      </w:r>
    </w:p>
  </w:endnote>
  <w:endnote w:type="continuationSeparator" w:id="0">
    <w:p w:rsidR="00D86D62" w:rsidRDefault="00D86D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405030503060202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503030403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6D62" w:rsidRDefault="00D86D62">
      <w:r>
        <w:separator/>
      </w:r>
    </w:p>
  </w:footnote>
  <w:footnote w:type="continuationSeparator" w:id="0">
    <w:p w:rsidR="00D86D62" w:rsidRDefault="00D86D6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5E44"/>
    <w:rsid w:val="000C2BE0"/>
    <w:rsid w:val="000D737D"/>
    <w:rsid w:val="000E2911"/>
    <w:rsid w:val="001122C3"/>
    <w:rsid w:val="001263DF"/>
    <w:rsid w:val="00140956"/>
    <w:rsid w:val="00187A61"/>
    <w:rsid w:val="00261C41"/>
    <w:rsid w:val="00292ED9"/>
    <w:rsid w:val="003108BE"/>
    <w:rsid w:val="00317AEB"/>
    <w:rsid w:val="00397BC9"/>
    <w:rsid w:val="00404E5B"/>
    <w:rsid w:val="00414F7B"/>
    <w:rsid w:val="004355DC"/>
    <w:rsid w:val="004749B4"/>
    <w:rsid w:val="00475886"/>
    <w:rsid w:val="00494130"/>
    <w:rsid w:val="004F3523"/>
    <w:rsid w:val="005973B9"/>
    <w:rsid w:val="005B3A56"/>
    <w:rsid w:val="005E2767"/>
    <w:rsid w:val="006060CE"/>
    <w:rsid w:val="0063497F"/>
    <w:rsid w:val="00660FBE"/>
    <w:rsid w:val="006D0155"/>
    <w:rsid w:val="006F57C4"/>
    <w:rsid w:val="00800110"/>
    <w:rsid w:val="00873DF0"/>
    <w:rsid w:val="008756E6"/>
    <w:rsid w:val="00884D5E"/>
    <w:rsid w:val="008A0D8B"/>
    <w:rsid w:val="008D1B61"/>
    <w:rsid w:val="008F6CC0"/>
    <w:rsid w:val="009111E1"/>
    <w:rsid w:val="009B2D44"/>
    <w:rsid w:val="00A07E82"/>
    <w:rsid w:val="00A260AE"/>
    <w:rsid w:val="00A9710C"/>
    <w:rsid w:val="00AE3E37"/>
    <w:rsid w:val="00B203BD"/>
    <w:rsid w:val="00B21A57"/>
    <w:rsid w:val="00C21B68"/>
    <w:rsid w:val="00C33602"/>
    <w:rsid w:val="00CD6F55"/>
    <w:rsid w:val="00D77849"/>
    <w:rsid w:val="00D86D62"/>
    <w:rsid w:val="00DE3104"/>
    <w:rsid w:val="00E67A25"/>
    <w:rsid w:val="00E94A89"/>
    <w:rsid w:val="00EE4F03"/>
    <w:rsid w:val="00F72EEA"/>
    <w:rsid w:val="00F84CAE"/>
    <w:rsid w:val="00F96AD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0BF3B3"/>
  <w15:docId w15:val="{44F1396E-58B6-40C4-8530-83E03528E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页眉 字符"/>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页脚 字符"/>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批注框文本 字符"/>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正文文本 字符"/>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240292763">
      <w:bodyDiv w:val="1"/>
      <w:marLeft w:val="0"/>
      <w:marRight w:val="0"/>
      <w:marTop w:val="0"/>
      <w:marBottom w:val="0"/>
      <w:divBdr>
        <w:top w:val="none" w:sz="0" w:space="0" w:color="auto"/>
        <w:left w:val="none" w:sz="0" w:space="0" w:color="auto"/>
        <w:bottom w:val="none" w:sz="0" w:space="0" w:color="auto"/>
        <w:right w:val="none" w:sz="0" w:space="0" w:color="auto"/>
      </w:divBdr>
    </w:div>
    <w:div w:id="1439719664">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TotalTime>
  <Pages>2</Pages>
  <Words>581</Words>
  <Characters>3316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丁 声龙</cp:lastModifiedBy>
  <cp:revision>23</cp:revision>
  <dcterms:created xsi:type="dcterms:W3CDTF">2016-08-31T12:06:00Z</dcterms:created>
  <dcterms:modified xsi:type="dcterms:W3CDTF">2019-05-05T05:50:00Z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