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D6F" w:rsidRPr="006401C3" w:rsidRDefault="00A06D6F" w:rsidP="00A06D6F">
      <w:pPr>
        <w:snapToGrid w:val="0"/>
        <w:spacing w:after="0" w:line="480" w:lineRule="auto"/>
        <w:contextualSpacing/>
        <w:jc w:val="both"/>
        <w:rPr>
          <w:rFonts w:ascii="Calibri" w:hAnsi="Calibri" w:cs="Calibri"/>
          <w:b/>
        </w:rPr>
      </w:pPr>
      <w:r w:rsidRPr="006401C3">
        <w:rPr>
          <w:rFonts w:ascii="Calibri" w:hAnsi="Calibri" w:cs="Calibri"/>
          <w:b/>
        </w:rPr>
        <w:t>Abstract</w:t>
      </w:r>
    </w:p>
    <w:p w:rsidR="00A06D6F" w:rsidRPr="006401C3" w:rsidRDefault="00A06D6F" w:rsidP="00A06D6F">
      <w:pPr>
        <w:snapToGrid w:val="0"/>
        <w:spacing w:after="0" w:line="480" w:lineRule="auto"/>
        <w:contextualSpacing/>
        <w:jc w:val="both"/>
        <w:rPr>
          <w:rFonts w:ascii="Calibri" w:hAnsi="Calibri" w:cs="Calibri"/>
          <w:b/>
        </w:rPr>
      </w:pPr>
      <w:r w:rsidRPr="006401C3">
        <w:rPr>
          <w:rFonts w:ascii="Calibri" w:hAnsi="Calibri" w:cs="Calibri"/>
          <w:b/>
        </w:rPr>
        <w:t>Background</w:t>
      </w:r>
    </w:p>
    <w:p w:rsidR="00A06D6F" w:rsidRPr="006401C3" w:rsidRDefault="00A06D6F" w:rsidP="00A06D6F">
      <w:pPr>
        <w:snapToGrid w:val="0"/>
        <w:spacing w:after="0" w:line="480" w:lineRule="auto"/>
        <w:contextualSpacing/>
        <w:jc w:val="both"/>
        <w:rPr>
          <w:rFonts w:ascii="Calibri" w:hAnsi="Calibri" w:cs="Calibri"/>
        </w:rPr>
      </w:pPr>
      <w:r w:rsidRPr="006401C3">
        <w:rPr>
          <w:rFonts w:ascii="Calibri" w:hAnsi="Calibri" w:cs="Calibri"/>
        </w:rPr>
        <w:t>The incidence of septic arthritis of the shoulder joint is increasing as the population ages. The prevalence of the shoulder infection is also increasing due to the growing use of arthroscopy and expansion of procedures in the shoulder.  Accurate diagnosis is required to get optimum treatment outcomes. However, cultures do not always</w:t>
      </w:r>
      <w:r>
        <w:rPr>
          <w:rFonts w:ascii="Calibri" w:hAnsi="Calibri" w:cs="Calibri"/>
        </w:rPr>
        <w:t xml:space="preserve"> identify of all microorganisms </w:t>
      </w:r>
      <w:r w:rsidRPr="006401C3">
        <w:rPr>
          <w:rFonts w:ascii="Calibri" w:hAnsi="Calibri" w:cs="Calibri"/>
        </w:rPr>
        <w:t xml:space="preserve">even in </w:t>
      </w:r>
      <w:r>
        <w:rPr>
          <w:rFonts w:ascii="Calibri" w:hAnsi="Calibri" w:cs="Calibri"/>
        </w:rPr>
        <w:t xml:space="preserve">a </w:t>
      </w:r>
      <w:r w:rsidRPr="006401C3">
        <w:rPr>
          <w:rFonts w:ascii="Calibri" w:hAnsi="Calibri" w:cs="Calibri"/>
        </w:rPr>
        <w:t xml:space="preserve">symptomatic infection patients. The incidence of negative culture ranges from 0 to 25%. </w:t>
      </w:r>
      <w:r>
        <w:rPr>
          <w:rFonts w:ascii="Calibri" w:hAnsi="Calibri" w:cs="Calibri"/>
        </w:rPr>
        <w:t>F</w:t>
      </w:r>
      <w:r w:rsidRPr="006401C3">
        <w:rPr>
          <w:rFonts w:ascii="Calibri" w:hAnsi="Calibri" w:cs="Calibri"/>
        </w:rPr>
        <w:t xml:space="preserve">ew studies have reported the clinical features </w:t>
      </w:r>
      <w:r>
        <w:rPr>
          <w:rFonts w:ascii="Calibri" w:hAnsi="Calibri" w:cs="Calibri"/>
        </w:rPr>
        <w:t>and</w:t>
      </w:r>
      <w:r w:rsidRPr="006401C3">
        <w:rPr>
          <w:rFonts w:ascii="Calibri" w:hAnsi="Calibri" w:cs="Calibri"/>
        </w:rPr>
        <w:t xml:space="preserve"> treatment outcomes of culture-negative shoulder infections. Consequently, the aim of this study was to </w:t>
      </w:r>
      <w:r>
        <w:rPr>
          <w:rFonts w:ascii="Calibri" w:hAnsi="Calibri" w:cs="Calibri"/>
        </w:rPr>
        <w:t xml:space="preserve">compare </w:t>
      </w:r>
      <w:r w:rsidRPr="006401C3">
        <w:rPr>
          <w:rFonts w:ascii="Calibri" w:hAnsi="Calibri" w:cs="Calibri"/>
        </w:rPr>
        <w:t>the clinical characteristics and treatment outcome of patients with culture-negative shoulder infections and those with positive culture results. Our hypothesis was that culture-negative infections would have less favorable outcome.</w:t>
      </w:r>
    </w:p>
    <w:p w:rsidR="00A06D6F" w:rsidRPr="006401C3" w:rsidRDefault="00A06D6F" w:rsidP="00A06D6F">
      <w:pPr>
        <w:snapToGrid w:val="0"/>
        <w:spacing w:after="0" w:line="480" w:lineRule="auto"/>
        <w:contextualSpacing/>
        <w:jc w:val="both"/>
        <w:rPr>
          <w:rFonts w:ascii="Calibri" w:hAnsi="Calibri" w:cs="Calibri"/>
          <w:b/>
        </w:rPr>
      </w:pPr>
      <w:r w:rsidRPr="006401C3">
        <w:rPr>
          <w:rFonts w:ascii="Calibri" w:hAnsi="Calibri" w:cs="Calibri"/>
          <w:b/>
        </w:rPr>
        <w:t>Methods</w:t>
      </w:r>
    </w:p>
    <w:p w:rsidR="00A06D6F" w:rsidRPr="006401C3" w:rsidRDefault="00A06D6F" w:rsidP="00A06D6F">
      <w:pPr>
        <w:snapToGrid w:val="0"/>
        <w:spacing w:after="0" w:line="480" w:lineRule="auto"/>
        <w:contextualSpacing/>
        <w:jc w:val="both"/>
        <w:rPr>
          <w:rFonts w:ascii="Calibri" w:hAnsi="Calibri" w:cs="Calibri"/>
          <w:b/>
        </w:rPr>
      </w:pPr>
      <w:r w:rsidRPr="006401C3">
        <w:rPr>
          <w:rFonts w:ascii="Calibri" w:hAnsi="Calibri" w:cs="Calibri"/>
        </w:rPr>
        <w:t xml:space="preserve">We retrospectively reviewed data from 36 patients with shoulder infection between June 2004 and March 2015, including 17 culture-negative and 19 culture-positive cases of shoulder infection. The minimum follow-up duration monitoring was 1.2 years (mean, 5 </w:t>
      </w:r>
      <w:r w:rsidRPr="006401C3">
        <w:rPr>
          <w:rFonts w:ascii="Calibri" w:eastAsiaTheme="minorHAnsi" w:hAnsi="Calibri" w:cs="Calibri"/>
        </w:rPr>
        <w:t>± 3.8</w:t>
      </w:r>
      <w:r w:rsidRPr="006401C3">
        <w:rPr>
          <w:rFonts w:ascii="Calibri" w:hAnsi="Calibri" w:cs="Calibri"/>
        </w:rPr>
        <w:t xml:space="preserve"> years; range, 1.2 - 11 years). We assessed</w:t>
      </w:r>
      <w:r>
        <w:rPr>
          <w:rFonts w:ascii="Calibri" w:hAnsi="Calibri" w:cs="Calibri"/>
        </w:rPr>
        <w:t xml:space="preserve"> </w:t>
      </w:r>
      <w:r w:rsidRPr="006401C3">
        <w:rPr>
          <w:rFonts w:ascii="Calibri" w:hAnsi="Calibri" w:cs="Calibri"/>
        </w:rPr>
        <w:t xml:space="preserve">patient’s pre-operative demographic characteristics, laboratory markers, imaging and functional scores, in addition to evaluation of both </w:t>
      </w:r>
      <w:proofErr w:type="spellStart"/>
      <w:r w:rsidRPr="006401C3">
        <w:rPr>
          <w:rFonts w:ascii="Calibri" w:hAnsi="Calibri" w:cs="Calibri"/>
        </w:rPr>
        <w:t>intraoperative</w:t>
      </w:r>
      <w:proofErr w:type="spellEnd"/>
      <w:r>
        <w:rPr>
          <w:rFonts w:ascii="Calibri" w:hAnsi="Calibri" w:cs="Calibri"/>
        </w:rPr>
        <w:t xml:space="preserve"> </w:t>
      </w:r>
      <w:r w:rsidRPr="006401C3">
        <w:rPr>
          <w:rFonts w:ascii="Calibri" w:hAnsi="Calibri" w:cs="Calibri"/>
        </w:rPr>
        <w:t>and postoperative</w:t>
      </w:r>
      <w:r>
        <w:rPr>
          <w:rFonts w:ascii="Calibri" w:hAnsi="Calibri" w:cs="Calibri"/>
        </w:rPr>
        <w:t xml:space="preserve"> </w:t>
      </w:r>
      <w:r w:rsidRPr="006401C3">
        <w:rPr>
          <w:rFonts w:ascii="Calibri" w:hAnsi="Calibri" w:cs="Calibri"/>
        </w:rPr>
        <w:t>findings between the two groups.</w:t>
      </w:r>
    </w:p>
    <w:p w:rsidR="00A06D6F" w:rsidRPr="006401C3" w:rsidRDefault="00A06D6F" w:rsidP="00A06D6F">
      <w:pPr>
        <w:snapToGrid w:val="0"/>
        <w:spacing w:after="0" w:line="480" w:lineRule="auto"/>
        <w:contextualSpacing/>
        <w:jc w:val="both"/>
        <w:rPr>
          <w:rFonts w:ascii="Calibri" w:hAnsi="Calibri" w:cs="Calibri"/>
          <w:b/>
        </w:rPr>
      </w:pPr>
      <w:r w:rsidRPr="006401C3">
        <w:rPr>
          <w:rFonts w:ascii="Calibri" w:hAnsi="Calibri" w:cs="Calibri"/>
          <w:b/>
        </w:rPr>
        <w:t>Results</w:t>
      </w:r>
    </w:p>
    <w:p w:rsidR="00A06D6F" w:rsidRPr="006401C3" w:rsidRDefault="00A06D6F" w:rsidP="00A06D6F">
      <w:pPr>
        <w:tabs>
          <w:tab w:val="left" w:pos="887"/>
        </w:tabs>
        <w:snapToGrid w:val="0"/>
        <w:spacing w:after="0" w:line="480" w:lineRule="auto"/>
        <w:contextualSpacing/>
        <w:jc w:val="both"/>
        <w:rPr>
          <w:rFonts w:ascii="Calibri" w:hAnsi="Calibri" w:cs="Calibri"/>
        </w:rPr>
      </w:pPr>
      <w:r w:rsidRPr="006401C3">
        <w:rPr>
          <w:rFonts w:ascii="Calibri" w:hAnsi="Calibri" w:cs="Calibri"/>
        </w:rPr>
        <w:t>The culture negative patients, were 17 out of 36 (47.2%), showed lower</w:t>
      </w:r>
      <w:r>
        <w:rPr>
          <w:rFonts w:ascii="Calibri" w:hAnsi="Calibri" w:cs="Calibri"/>
        </w:rPr>
        <w:t xml:space="preserve"> </w:t>
      </w:r>
      <w:r w:rsidRPr="006401C3">
        <w:rPr>
          <w:rFonts w:ascii="Calibri" w:hAnsi="Calibri" w:cs="Calibri"/>
        </w:rPr>
        <w:t>WBC and CRP preoperative levels</w:t>
      </w:r>
      <w:r>
        <w:rPr>
          <w:rFonts w:ascii="Calibri" w:hAnsi="Calibri" w:cs="Calibri"/>
        </w:rPr>
        <w:t>, and</w:t>
      </w:r>
      <w:r w:rsidRPr="006401C3">
        <w:rPr>
          <w:rFonts w:ascii="Calibri" w:hAnsi="Calibri" w:cs="Calibri"/>
        </w:rPr>
        <w:t xml:space="preserve"> significantly lower number of repeated surgical debridement (Culture-negative/Culture-positive = 1.2</w:t>
      </w:r>
      <w:r w:rsidRPr="006401C3">
        <w:rPr>
          <w:rFonts w:ascii="Calibri" w:eastAsia="Malgun Gothic" w:hAnsi="Calibri" w:cs="Calibri"/>
        </w:rPr>
        <w:t>±</w:t>
      </w:r>
      <w:r w:rsidRPr="006401C3">
        <w:rPr>
          <w:rFonts w:ascii="Calibri" w:hAnsi="Calibri" w:cs="Calibri"/>
        </w:rPr>
        <w:t>0.4/2.4</w:t>
      </w:r>
      <w:r w:rsidRPr="006401C3">
        <w:rPr>
          <w:rFonts w:ascii="Calibri" w:eastAsia="Malgun Gothic" w:hAnsi="Calibri" w:cs="Calibri"/>
        </w:rPr>
        <w:t>±1.7)</w:t>
      </w:r>
      <w:r w:rsidRPr="006401C3">
        <w:rPr>
          <w:rFonts w:ascii="Calibri" w:hAnsi="Calibri" w:cs="Calibri"/>
        </w:rPr>
        <w:t xml:space="preserve"> (</w:t>
      </w:r>
      <w:r w:rsidRPr="006401C3">
        <w:rPr>
          <w:rFonts w:ascii="Calibri" w:hAnsi="Calibri" w:cs="Calibri"/>
          <w:i/>
        </w:rPr>
        <w:t>p</w:t>
      </w:r>
      <w:r w:rsidRPr="006401C3">
        <w:rPr>
          <w:rFonts w:ascii="Calibri" w:hAnsi="Calibri" w:cs="Calibri"/>
        </w:rPr>
        <w:t xml:space="preserve"> = 0.002) with no </w:t>
      </w:r>
      <w:proofErr w:type="spellStart"/>
      <w:r w:rsidRPr="006401C3">
        <w:rPr>
          <w:rFonts w:ascii="Calibri" w:hAnsi="Calibri" w:cs="Calibri"/>
        </w:rPr>
        <w:t>osteomyelitis</w:t>
      </w:r>
      <w:proofErr w:type="spellEnd"/>
      <w:r w:rsidRPr="006401C3">
        <w:rPr>
          <w:rFonts w:ascii="Calibri" w:hAnsi="Calibri" w:cs="Calibri"/>
        </w:rPr>
        <w:t>. In multiple logistic regression, the bony destruction on plain radiograph [odds ratio (OR) = 9.686, 95% confidence interval (CI): 1.0-91.8] (p=0.04) and the number of surgical debridement (OR = 5.3, 95 % CI: 1.3-21.6) (p=0.02).</w:t>
      </w:r>
      <w:r>
        <w:rPr>
          <w:rFonts w:ascii="Calibri" w:hAnsi="Calibri" w:cs="Calibri"/>
        </w:rPr>
        <w:t xml:space="preserve"> </w:t>
      </w:r>
      <w:r w:rsidRPr="006401C3">
        <w:rPr>
          <w:rFonts w:ascii="Calibri" w:hAnsi="Calibri" w:cs="Calibri"/>
        </w:rPr>
        <w:t xml:space="preserve">There was no significant </w:t>
      </w:r>
      <w:r w:rsidRPr="006401C3">
        <w:rPr>
          <w:rFonts w:ascii="Calibri" w:hAnsi="Calibri" w:cs="Calibri"/>
        </w:rPr>
        <w:lastRenderedPageBreak/>
        <w:t>difference in age, gender, host conditions, initial diagnosis, preoperative symptoms, previous antibiotics treatment, other laboratory data, or functional scores between the two groups.</w:t>
      </w:r>
    </w:p>
    <w:p w:rsidR="00A06D6F" w:rsidRPr="006401C3" w:rsidRDefault="00A06D6F" w:rsidP="00A06D6F">
      <w:pPr>
        <w:snapToGrid w:val="0"/>
        <w:spacing w:after="0" w:line="480" w:lineRule="auto"/>
        <w:contextualSpacing/>
        <w:jc w:val="both"/>
        <w:rPr>
          <w:rFonts w:ascii="Calibri" w:hAnsi="Calibri" w:cs="Calibri"/>
          <w:b/>
        </w:rPr>
      </w:pPr>
      <w:r w:rsidRPr="006401C3">
        <w:rPr>
          <w:rFonts w:ascii="Calibri" w:hAnsi="Calibri" w:cs="Calibri"/>
          <w:b/>
        </w:rPr>
        <w:t>Conclusion</w:t>
      </w:r>
    </w:p>
    <w:p w:rsidR="00A06D6F" w:rsidRPr="006401C3" w:rsidRDefault="00A06D6F" w:rsidP="00A06D6F">
      <w:pPr>
        <w:snapToGrid w:val="0"/>
        <w:spacing w:after="0" w:line="480" w:lineRule="auto"/>
        <w:contextualSpacing/>
        <w:jc w:val="both"/>
        <w:rPr>
          <w:rFonts w:ascii="Calibri" w:hAnsi="Calibri" w:cs="Calibri"/>
        </w:rPr>
      </w:pPr>
      <w:r w:rsidRPr="006401C3">
        <w:rPr>
          <w:rFonts w:ascii="Calibri" w:hAnsi="Calibri" w:cs="Calibri"/>
        </w:rPr>
        <w:t xml:space="preserve">Culture-negative </w:t>
      </w:r>
      <w:r>
        <w:rPr>
          <w:rFonts w:ascii="Calibri" w:hAnsi="Calibri" w:cs="Calibri"/>
        </w:rPr>
        <w:t>infection</w:t>
      </w:r>
      <w:r w:rsidRPr="006401C3">
        <w:rPr>
          <w:rFonts w:ascii="Calibri" w:hAnsi="Calibri" w:cs="Calibri"/>
        </w:rPr>
        <w:t xml:space="preserve"> </w:t>
      </w:r>
      <w:r>
        <w:rPr>
          <w:rFonts w:ascii="Calibri" w:hAnsi="Calibri" w:cs="Calibri"/>
        </w:rPr>
        <w:t>is</w:t>
      </w:r>
      <w:r w:rsidRPr="006401C3">
        <w:rPr>
          <w:rFonts w:ascii="Calibri" w:hAnsi="Calibri" w:cs="Calibri"/>
        </w:rPr>
        <w:t xml:space="preserve"> less severe with</w:t>
      </w:r>
      <w:r>
        <w:rPr>
          <w:rFonts w:ascii="Calibri" w:hAnsi="Calibri" w:cs="Calibri"/>
        </w:rPr>
        <w:t xml:space="preserve"> no</w:t>
      </w:r>
      <w:r w:rsidRPr="006401C3">
        <w:rPr>
          <w:rFonts w:ascii="Calibri" w:hAnsi="Calibri" w:cs="Calibri"/>
        </w:rPr>
        <w:t xml:space="preserve"> Osteomyelitis and can be controlled better than culture-positive </w:t>
      </w:r>
      <w:r>
        <w:rPr>
          <w:rFonts w:ascii="Calibri" w:hAnsi="Calibri" w:cs="Calibri"/>
        </w:rPr>
        <w:t>infection</w:t>
      </w:r>
      <w:r w:rsidRPr="006401C3">
        <w:rPr>
          <w:rFonts w:ascii="Calibri" w:hAnsi="Calibri" w:cs="Calibri"/>
        </w:rPr>
        <w:t xml:space="preserve">. Therefore, culture negativity is not necessarily a negative prognostic factor for shoulder joint infection. </w:t>
      </w:r>
    </w:p>
    <w:p w:rsidR="00A06D6F" w:rsidRPr="006401C3" w:rsidRDefault="00A06D6F" w:rsidP="00A06D6F">
      <w:pPr>
        <w:spacing w:line="480" w:lineRule="auto"/>
        <w:jc w:val="both"/>
        <w:rPr>
          <w:rFonts w:ascii="Calibri" w:hAnsi="Calibri" w:cs="Calibri"/>
        </w:rPr>
      </w:pPr>
      <w:r w:rsidRPr="006401C3">
        <w:rPr>
          <w:rFonts w:ascii="Calibri" w:hAnsi="Calibri" w:cs="Calibri"/>
          <w:b/>
          <w:bCs/>
        </w:rPr>
        <w:t>Keywords</w:t>
      </w:r>
      <w:r w:rsidRPr="006401C3">
        <w:rPr>
          <w:rFonts w:ascii="Calibri" w:hAnsi="Calibri" w:cs="Calibri"/>
        </w:rPr>
        <w:t>: Culture-negative Infection, septic arthritis, Osteomyelitis, Shoulder Infection</w:t>
      </w:r>
    </w:p>
    <w:p w:rsidR="00110140" w:rsidRDefault="00110140"/>
    <w:sectPr w:rsidR="00110140" w:rsidSect="001101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06D6F"/>
    <w:rsid w:val="00110140"/>
    <w:rsid w:val="00A06D6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D6F"/>
    <w:rPr>
      <w:rFonts w:eastAsiaTheme="minorEastAsia"/>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2075</Characters>
  <Application>Microsoft Office Word</Application>
  <DocSecurity>0</DocSecurity>
  <Lines>17</Lines>
  <Paragraphs>4</Paragraphs>
  <ScaleCrop>false</ScaleCrop>
  <Company/>
  <LinksUpToDate>false</LinksUpToDate>
  <CharactersWithSpaces>2435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Attia</dc:creator>
  <cp:lastModifiedBy>Mohamed Attia</cp:lastModifiedBy>
  <cp:revision>1</cp:revision>
  <dcterms:created xsi:type="dcterms:W3CDTF">2018-05-02T12:20:00Z</dcterms:created>
  <dcterms:modified xsi:type="dcterms:W3CDTF">2018-05-02T12:20:00Z</dcterms:modified>
</cp:coreProperties>
</file>