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A0D" w:rsidRPr="007E61E6" w:rsidRDefault="008D1A0D" w:rsidP="008D1A0D">
      <w:pPr>
        <w:bidi w:val="0"/>
        <w:rPr>
          <w:rFonts w:asciiTheme="majorBidi" w:hAnsiTheme="majorBidi" w:cstheme="majorBidi"/>
          <w:b/>
          <w:sz w:val="24"/>
          <w:szCs w:val="24"/>
          <w:lang w:val="en-GB"/>
        </w:rPr>
      </w:pPr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>Synthesis, structural characterization, thermal behaviour and anti</w:t>
      </w:r>
      <w:r>
        <w:rPr>
          <w:rFonts w:asciiTheme="majorBidi" w:hAnsiTheme="majorBidi" w:cstheme="majorBidi"/>
          <w:b/>
          <w:sz w:val="24"/>
          <w:szCs w:val="24"/>
          <w:lang w:val="en-GB"/>
        </w:rPr>
        <w:t>microbial</w:t>
      </w:r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 xml:space="preserve"> activity of copper, cadmium and zinc </w:t>
      </w:r>
      <w:proofErr w:type="spellStart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>chelates</w:t>
      </w:r>
      <w:proofErr w:type="spellEnd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 xml:space="preserve"> of </w:t>
      </w:r>
      <w:proofErr w:type="spellStart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>traizole-thiole</w:t>
      </w:r>
      <w:proofErr w:type="spellEnd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 xml:space="preserve"> </w:t>
      </w:r>
      <w:proofErr w:type="spellStart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>ligand</w:t>
      </w:r>
      <w:proofErr w:type="spellEnd"/>
      <w:r w:rsidRPr="007E61E6">
        <w:rPr>
          <w:rFonts w:asciiTheme="majorBidi" w:hAnsiTheme="majorBidi" w:cstheme="majorBidi"/>
          <w:b/>
          <w:sz w:val="24"/>
          <w:szCs w:val="24"/>
          <w:lang w:val="en-GB"/>
        </w:rPr>
        <w:t xml:space="preserve"> in comparison with theoretical molecular modelling </w:t>
      </w:r>
    </w:p>
    <w:p w:rsidR="008D1A0D" w:rsidRPr="007E61E6" w:rsidRDefault="008D1A0D" w:rsidP="008D1A0D">
      <w:pPr>
        <w:pStyle w:val="RSCB01ARTAbstract"/>
        <w:jc w:val="left"/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</w:pPr>
      <w:r w:rsidRPr="007E61E6">
        <w:rPr>
          <w:rFonts w:asciiTheme="majorBidi" w:hAnsiTheme="majorBidi" w:cstheme="majorBidi"/>
          <w:b/>
          <w:bCs/>
          <w:sz w:val="24"/>
          <w:szCs w:val="24"/>
          <w:lang w:val="en-US"/>
        </w:rPr>
        <w:t>Ehab M. Zayed</w:t>
      </w:r>
      <w:r w:rsidRPr="007E61E6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1</w:t>
      </w:r>
      <w:r w:rsidRPr="007E61E6">
        <w:rPr>
          <w:rFonts w:asciiTheme="majorBidi" w:hAnsiTheme="majorBidi" w:cstheme="majorBidi"/>
          <w:b/>
          <w:bCs/>
          <w:sz w:val="24"/>
          <w:szCs w:val="24"/>
          <w:lang w:val="en-US"/>
        </w:rPr>
        <w:t>, M. A. Zayed</w:t>
      </w:r>
      <w:r w:rsidRPr="007E61E6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*2</w:t>
      </w:r>
      <w:r w:rsidRPr="007E61E6">
        <w:rPr>
          <w:rFonts w:asciiTheme="majorBidi" w:hAnsiTheme="majorBidi" w:cstheme="majorBidi"/>
          <w:b/>
          <w:bCs/>
          <w:sz w:val="24"/>
          <w:szCs w:val="24"/>
          <w:lang w:val="en-US"/>
        </w:rPr>
        <w:t>, Hayam A. Abd El Salam</w:t>
      </w:r>
      <w:r w:rsidRPr="007E61E6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1</w:t>
      </w:r>
      <w:r w:rsidRPr="007E61E6">
        <w:rPr>
          <w:rFonts w:asciiTheme="majorBidi" w:hAnsiTheme="majorBidi" w:cstheme="majorBidi"/>
          <w:b/>
          <w:bCs/>
          <w:sz w:val="24"/>
          <w:szCs w:val="24"/>
          <w:lang w:val="en-US"/>
        </w:rPr>
        <w:t>, Mahmoud Nouman</w:t>
      </w:r>
      <w:r w:rsidRPr="007E61E6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2</w:t>
      </w:r>
    </w:p>
    <w:p w:rsidR="008D1A0D" w:rsidRPr="007E61E6" w:rsidRDefault="008D1A0D" w:rsidP="008D1A0D">
      <w:pPr>
        <w:pStyle w:val="RSCB01ARTAbstract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7E61E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8D1A0D" w:rsidRPr="006B1925" w:rsidRDefault="008D1A0D" w:rsidP="008D1A0D">
      <w:pPr>
        <w:bidi w:val="0"/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</w:pP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This research involved structural and molecular behaviour of the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HL</w:t>
      </w:r>
      <w:r w:rsidRPr="007E61E6">
        <w:rPr>
          <w:rFonts w:asciiTheme="majorBidi" w:hAnsiTheme="majorBidi" w:cstheme="majorBidi"/>
          <w:sz w:val="24"/>
          <w:szCs w:val="24"/>
          <w:lang w:val="sq-AL"/>
        </w:rPr>
        <w:t>,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4-amino-5-(2,2-dichloro-1-methylcyclopropyl)-4H-1,2,4-triazole-3-thiol toward the transition metal ions namely Cu (II), Zn (II) and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Cd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>(II) had been studied using magnetic, electronic</w:t>
      </w:r>
      <w:r>
        <w:rPr>
          <w:rFonts w:asciiTheme="majorBidi" w:hAnsiTheme="majorBidi" w:cstheme="majorBidi"/>
          <w:sz w:val="24"/>
          <w:szCs w:val="24"/>
          <w:lang w:val="en-GB"/>
        </w:rPr>
        <w:t>,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elemental analyses,  </w:t>
      </w:r>
      <w:r w:rsidRPr="007E61E6"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1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>H-NMR</w:t>
      </w:r>
      <w:r>
        <w:rPr>
          <w:rFonts w:asciiTheme="majorBidi" w:hAnsiTheme="majorBidi" w:cstheme="majorBidi"/>
          <w:sz w:val="24"/>
          <w:szCs w:val="24"/>
          <w:lang w:val="en-GB"/>
        </w:rPr>
        <w:t>,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FT-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IR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and  Thermal analyses (TGA and DTA). The interpretation of practical data obtained had been evaluated and confirmed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by</w:t>
      </w:r>
      <w:r w:rsidRPr="007E61E6">
        <w:rPr>
          <w:rFonts w:asciiTheme="majorBidi" w:hAnsiTheme="majorBidi" w:cstheme="majorBidi"/>
          <w:bCs/>
          <w:sz w:val="24"/>
          <w:szCs w:val="24"/>
          <w:lang w:val="en-GB"/>
        </w:rPr>
        <w:t>theoretical</w:t>
      </w:r>
      <w:proofErr w:type="spellEnd"/>
      <w:r w:rsidRPr="007E61E6">
        <w:rPr>
          <w:rFonts w:asciiTheme="majorBidi" w:hAnsiTheme="majorBidi" w:cstheme="majorBidi"/>
          <w:bCs/>
          <w:sz w:val="24"/>
          <w:szCs w:val="24"/>
          <w:lang w:val="en-GB"/>
        </w:rPr>
        <w:t xml:space="preserve"> molecular modelling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. The computations had been done by software of Gaussian 09W package.  The geometries of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traizole-thiole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and its metal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were fully optimized using density functional theory B3LYP method. There are no symmetry constrains had been applied during geometry optimization.  (DFT)/GENECP level by implementing Def2TZVP basis set was used for Cu,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Cd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and Zn-atoms; and basis set 6-311++G (d, p) was used for other atoms. The mixed basis set had been selected due to its flexibility. HOMO and LUMO energy values for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, chemical hardness and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electronegativity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had been calculated. NBO calculations had been done at the same level using (NBO 3.1) program involved in the software of Gaussian 09W for measuring the intra-molecular delocalization in systems under investigation qualitatively. TD-DFT approximation at the same level of theory was used to calculate the electronic absorption spectra of the studied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. Their structures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were 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confirmed </w:t>
      </w:r>
      <w:r>
        <w:rPr>
          <w:rFonts w:asciiTheme="majorBidi" w:hAnsiTheme="majorBidi" w:cstheme="majorBidi"/>
          <w:sz w:val="24"/>
          <w:szCs w:val="24"/>
          <w:lang w:val="en-GB"/>
        </w:rPr>
        <w:t>via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correlation between experimental and theoretical calculations. The </w:t>
      </w:r>
      <w:r>
        <w:rPr>
          <w:rFonts w:asciiTheme="majorBidi" w:hAnsiTheme="majorBidi" w:cstheme="majorBidi"/>
          <w:sz w:val="24"/>
          <w:szCs w:val="24"/>
          <w:lang w:val="en-GB"/>
        </w:rPr>
        <w:t>antimicrobial results of the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and its metal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chelateshad</w:t>
      </w:r>
      <w:proofErr w:type="spellEnd"/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been </w:t>
      </w:r>
      <w:r w:rsidRPr="00797E8B">
        <w:rPr>
          <w:rFonts w:asciiTheme="majorBidi" w:hAnsiTheme="majorBidi" w:cstheme="majorBidi"/>
          <w:color w:val="FF0000"/>
          <w:sz w:val="24"/>
          <w:szCs w:val="24"/>
          <w:lang w:val="en-GB"/>
        </w:rPr>
        <w:t xml:space="preserve">recorded 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against </w:t>
      </w:r>
      <w:r>
        <w:rPr>
          <w:rFonts w:asciiTheme="majorBidi" w:hAnsiTheme="majorBidi" w:cstheme="majorBidi"/>
          <w:sz w:val="24"/>
          <w:szCs w:val="24"/>
          <w:lang w:val="en-GB"/>
        </w:rPr>
        <w:t>two bacteria positive (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Escherichia coli)</w:t>
      </w:r>
      <w:r>
        <w:rPr>
          <w:rFonts w:asciiTheme="majorBidi" w:hAnsiTheme="majorBidi" w:cstheme="majorBidi"/>
          <w:sz w:val="24"/>
          <w:szCs w:val="24"/>
          <w:lang w:val="en-GB"/>
        </w:rPr>
        <w:t>and negative(</w:t>
      </w:r>
      <w:r w:rsidRPr="007E61E6">
        <w:rPr>
          <w:rFonts w:asciiTheme="majorBidi" w:hAnsiTheme="majorBidi" w:cstheme="majorBidi"/>
          <w:i/>
          <w:iCs/>
          <w:sz w:val="24"/>
          <w:szCs w:val="24"/>
          <w:lang w:val="en-GB"/>
        </w:rPr>
        <w:t>Staphylococcus aurous</w:t>
      </w:r>
      <w:r>
        <w:rPr>
          <w:rFonts w:asciiTheme="majorBidi" w:hAnsiTheme="majorBidi" w:cstheme="majorBidi"/>
          <w:sz w:val="24"/>
          <w:szCs w:val="24"/>
          <w:lang w:val="en-GB"/>
        </w:rPr>
        <w:t>)</w:t>
      </w:r>
      <w:r w:rsidRPr="007E61E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7E61E6">
        <w:rPr>
          <w:rFonts w:asciiTheme="majorBidi" w:hAnsiTheme="majorBidi" w:cstheme="majorBidi"/>
          <w:sz w:val="24"/>
          <w:szCs w:val="24"/>
          <w:lang w:val="en-GB"/>
        </w:rPr>
        <w:t>and</w:t>
      </w:r>
      <w:r w:rsidRPr="006B1925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two</w:t>
      </w:r>
      <w:proofErr w:type="spellEnd"/>
      <w:r w:rsidRPr="006B1925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fungus (</w:t>
      </w:r>
      <w:proofErr w:type="spellStart"/>
      <w:r w:rsidRPr="006B192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>Aspergillusflavus</w:t>
      </w:r>
      <w:proofErr w:type="spellEnd"/>
      <w:r w:rsidRPr="006B1925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and </w:t>
      </w:r>
      <w:r w:rsidRPr="006B192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 xml:space="preserve">Candida </w:t>
      </w:r>
      <w:proofErr w:type="spellStart"/>
      <w:r w:rsidRPr="006B192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>albicans</w:t>
      </w:r>
      <w:proofErr w:type="spellEnd"/>
      <w:r w:rsidRPr="006B1925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).</w:t>
      </w:r>
    </w:p>
    <w:p w:rsidR="003B2D6D" w:rsidRPr="008D1A0D" w:rsidRDefault="003B2D6D" w:rsidP="008D1A0D">
      <w:pPr>
        <w:bidi w:val="0"/>
        <w:rPr>
          <w:rFonts w:hint="cs"/>
          <w:lang w:val="en-GB" w:bidi="ar-EG"/>
        </w:rPr>
      </w:pPr>
    </w:p>
    <w:sectPr w:rsidR="003B2D6D" w:rsidRPr="008D1A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8D1A0D"/>
    <w:rsid w:val="003B2D6D"/>
    <w:rsid w:val="008D1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B01ARTAbstract">
    <w:name w:val="RSC B01 ART Abstract"/>
    <w:basedOn w:val="Normal"/>
    <w:link w:val="RSCB01ARTAbstractChar"/>
    <w:qFormat/>
    <w:rsid w:val="008D1A0D"/>
    <w:pPr>
      <w:bidi w:val="0"/>
      <w:spacing w:line="240" w:lineRule="exact"/>
      <w:jc w:val="both"/>
    </w:pPr>
    <w:rPr>
      <w:rFonts w:eastAsiaTheme="minorHAnsi"/>
      <w:noProof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8D1A0D"/>
    <w:rPr>
      <w:rFonts w:eastAsiaTheme="minorHAnsi"/>
      <w:noProof/>
      <w:sz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Company>Grizli777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2</cp:revision>
  <dcterms:created xsi:type="dcterms:W3CDTF">2019-03-04T11:45:00Z</dcterms:created>
  <dcterms:modified xsi:type="dcterms:W3CDTF">2019-03-04T11:46:00Z</dcterms:modified>
</cp:coreProperties>
</file>