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6F68F" w14:textId="220FCBD5" w:rsidR="004C7D5E" w:rsidRDefault="005C213E" w:rsidP="005C213E">
      <w:pPr>
        <w:jc w:val="right"/>
      </w:pPr>
      <w:r>
        <w:rPr>
          <w:noProof/>
          <w:lang w:eastAsia="en-MY"/>
        </w:rPr>
        <w:drawing>
          <wp:inline distT="0" distB="0" distL="0" distR="0" wp14:anchorId="20AA9F38" wp14:editId="4E214FBC">
            <wp:extent cx="1365250" cy="1479550"/>
            <wp:effectExtent l="0" t="0" r="6350" b="6350"/>
            <wp:docPr id="1" name="Picture 1" descr="E:\Siya pics (from laptop)\KL conference 2018 August\IMG_20180821_100403.jpg"/>
            <wp:cNvGraphicFramePr/>
            <a:graphic xmlns:a="http://schemas.openxmlformats.org/drawingml/2006/main">
              <a:graphicData uri="http://schemas.openxmlformats.org/drawingml/2006/picture">
                <pic:pic xmlns:pic="http://schemas.openxmlformats.org/drawingml/2006/picture">
                  <pic:nvPicPr>
                    <pic:cNvPr id="1" name="Picture 1" descr="E:\Siya pics (from laptop)\KL conference 2018 August\IMG_20180821_100403.jpg"/>
                    <pic:cNvPicPr/>
                  </pic:nvPicPr>
                  <pic:blipFill rotWithShape="1">
                    <a:blip r:embed="rId4" cstate="print">
                      <a:extLst>
                        <a:ext uri="{28A0092B-C50C-407E-A947-70E740481C1C}">
                          <a14:useLocalDpi xmlns:a14="http://schemas.microsoft.com/office/drawing/2010/main" val="0"/>
                        </a:ext>
                      </a:extLst>
                    </a:blip>
                    <a:srcRect t="9903" b="13187"/>
                    <a:stretch/>
                  </pic:blipFill>
                  <pic:spPr bwMode="auto">
                    <a:xfrm>
                      <a:off x="0" y="0"/>
                      <a:ext cx="1365250" cy="147955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022B443E" w14:textId="0CCD00A3" w:rsidR="00A24A8A" w:rsidRDefault="00A24A8A" w:rsidP="000B1A2D">
      <w:pPr>
        <w:spacing w:after="0"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KEYNOTE SPEAKER: </w:t>
      </w:r>
      <w:bookmarkStart w:id="0" w:name="_GoBack"/>
      <w:bookmarkEnd w:id="0"/>
    </w:p>
    <w:p w14:paraId="168E7FD1" w14:textId="77777777" w:rsidR="00A24A8A" w:rsidRDefault="00A24A8A" w:rsidP="000B1A2D">
      <w:pPr>
        <w:spacing w:after="0" w:line="240" w:lineRule="auto"/>
        <w:rPr>
          <w:rFonts w:ascii="Times New Roman" w:eastAsia="Times New Roman" w:hAnsi="Times New Roman" w:cs="Times New Roman"/>
          <w:b/>
          <w:bCs/>
          <w:color w:val="222222"/>
          <w:sz w:val="24"/>
          <w:szCs w:val="24"/>
        </w:rPr>
      </w:pPr>
    </w:p>
    <w:p w14:paraId="5BA9C421" w14:textId="780F6890" w:rsidR="000B1A2D" w:rsidRDefault="000B1A2D" w:rsidP="000B1A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Title:</w:t>
      </w:r>
      <w:r>
        <w:rPr>
          <w:rFonts w:ascii="Times New Roman" w:eastAsia="Times New Roman" w:hAnsi="Times New Roman" w:cs="Times New Roman"/>
          <w:color w:val="222222"/>
          <w:sz w:val="24"/>
          <w:szCs w:val="24"/>
        </w:rPr>
        <w:t xml:space="preserve"> The Comparative Evaluation of the Masticatory Efficiency of Root Supported Attachment Retained Overdenture and Implant Supported Overdenture by EMG: An In Vivo Study.</w:t>
      </w:r>
    </w:p>
    <w:p w14:paraId="1AD61E53" w14:textId="77777777" w:rsidR="000B1A2D" w:rsidRDefault="000B1A2D" w:rsidP="000B1A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Name:</w:t>
      </w:r>
      <w:r>
        <w:rPr>
          <w:rFonts w:ascii="Times New Roman" w:eastAsia="Times New Roman" w:hAnsi="Times New Roman" w:cs="Times New Roman"/>
          <w:color w:val="222222"/>
          <w:sz w:val="24"/>
          <w:szCs w:val="24"/>
        </w:rPr>
        <w:t xml:space="preserve"> Dr. Priyanka Tiwari</w:t>
      </w:r>
    </w:p>
    <w:p w14:paraId="2356250E" w14:textId="77777777" w:rsidR="000B1A2D" w:rsidRDefault="000B1A2D" w:rsidP="000B1A2D">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University/ Affiliation:</w:t>
      </w:r>
      <w:r>
        <w:rPr>
          <w:rFonts w:ascii="Times New Roman" w:eastAsia="Times New Roman" w:hAnsi="Times New Roman" w:cs="Times New Roman"/>
          <w:color w:val="222222"/>
          <w:sz w:val="24"/>
          <w:szCs w:val="24"/>
        </w:rPr>
        <w:t xml:space="preserve"> Sumandeep Vidhyapeeth University, Malaysia</w:t>
      </w:r>
    </w:p>
    <w:p w14:paraId="3AD847D4" w14:textId="77777777" w:rsidR="000B1A2D" w:rsidRDefault="000B1A2D" w:rsidP="000B1A2D">
      <w:pPr>
        <w:spacing w:after="0" w:line="240" w:lineRule="auto"/>
        <w:rPr>
          <w:rFonts w:ascii="Times New Roman" w:eastAsia="Times New Roman" w:hAnsi="Times New Roman" w:cs="Times New Roman"/>
          <w:color w:val="222222"/>
          <w:sz w:val="24"/>
          <w:szCs w:val="24"/>
        </w:rPr>
      </w:pPr>
    </w:p>
    <w:p w14:paraId="16485D45" w14:textId="77777777" w:rsidR="000B1A2D" w:rsidRDefault="000B1A2D" w:rsidP="000B1A2D">
      <w:pPr>
        <w:spacing w:after="0"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Abstract: </w:t>
      </w:r>
    </w:p>
    <w:p w14:paraId="712EDDF4" w14:textId="77777777" w:rsidR="000B1A2D" w:rsidRDefault="000B1A2D" w:rsidP="000B1A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masticatory efficiency of complete denture, implanted supported, root supported and attachment retained overdenture, was checked by the electromyography, which would help in gaining information about the neurophysiologic mechanisms regulating the complex masticatory action and deciding the best treatment for the patients. The study was divided into two groups.  In group one, there were five patients, these patients were first given complete denture and then given two implant supported overdenture. In group two, there were five patients, these patients were first given root supported overdenture and then given root supported attachment retained overdenture. Their masticatory efficiency was evaluated during clenching and mastication of masseter and temporalis muscles. This was done by the best proven method which is electromyography. Mean masticatory efficiency was found out during clenching and mastication and was tabulated and statistically </w:t>
      </w:r>
      <w:proofErr w:type="spellStart"/>
      <w:r>
        <w:rPr>
          <w:rFonts w:ascii="Times New Roman" w:eastAsia="Times New Roman" w:hAnsi="Times New Roman" w:cs="Times New Roman"/>
          <w:color w:val="222222"/>
          <w:sz w:val="24"/>
          <w:szCs w:val="24"/>
        </w:rPr>
        <w:t>analyzed</w:t>
      </w:r>
      <w:proofErr w:type="spellEnd"/>
      <w:r>
        <w:rPr>
          <w:rFonts w:ascii="Times New Roman" w:eastAsia="Times New Roman" w:hAnsi="Times New Roman" w:cs="Times New Roman"/>
          <w:color w:val="222222"/>
          <w:sz w:val="24"/>
          <w:szCs w:val="24"/>
        </w:rPr>
        <w:t xml:space="preserve"> using unpaired and paired t-test. As a result, the unpaired and paired t-test suggest that a significant statistical difference was obtained in the mean masticatory efficiency of the two-implant supported overdenture while clenching and mastication (P&lt;0.0001). This showed that the two- implant supported overdenture had the maximum masticatory efficiency during clenching and mastication compared to the other three treatment modalities.  As a conclusion, patient rehabilitated with two-implant supported overdenture gave the maximum masticatory efficiency values during clenching and mastication for both the muscles masseter &amp; temporalis followed by attachment retained overdenture, root supported overdenture and conventional complete denture.  Keywords: two-implant supported overdenture, root supported overdenture, attachment retained overdenture, masticatory efficiency, and electromyography. </w:t>
      </w:r>
    </w:p>
    <w:p w14:paraId="2E05DB31" w14:textId="77777777" w:rsidR="000B1A2D" w:rsidRDefault="000B1A2D" w:rsidP="000B1A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w:t>
      </w:r>
    </w:p>
    <w:p w14:paraId="31B6C2E4" w14:textId="487E8338" w:rsidR="000B1A2D" w:rsidRDefault="000B1A2D" w:rsidP="000B1A2D">
      <w:pPr>
        <w:rPr>
          <w:rFonts w:ascii="Times New Roman" w:hAnsi="Times New Roman" w:cs="Times New Roman"/>
          <w:sz w:val="24"/>
          <w:szCs w:val="24"/>
          <w:lang w:val="en-IN"/>
        </w:rPr>
      </w:pPr>
      <w:r>
        <w:rPr>
          <w:rFonts w:ascii="Times New Roman" w:eastAsia="Times New Roman" w:hAnsi="Times New Roman" w:cs="Times New Roman"/>
          <w:b/>
          <w:bCs/>
          <w:color w:val="222222"/>
          <w:sz w:val="24"/>
          <w:szCs w:val="24"/>
        </w:rPr>
        <w:t xml:space="preserve">Biography: </w:t>
      </w:r>
      <w:r>
        <w:rPr>
          <w:rFonts w:ascii="Times New Roman" w:hAnsi="Times New Roman" w:cs="Times New Roman"/>
          <w:sz w:val="24"/>
          <w:szCs w:val="24"/>
          <w:lang w:val="en-IN"/>
        </w:rPr>
        <w:t>Dr. Priyanka Tiwari did her Bachelor’s in Dental Surgery (BDS) and Master’s in Dental Surgery (MDS) in Prosthodontics from India. Completed a Certificate course on Medical Affairs in 2020 from Singapore Duke-NUS Medical University. She has 6 years of experience including teaching &amp; clinical in various eminent hospitals, college and clinics. She practices Prosthodontics as well as general dentistry. She was invited to appear LIVE twice on GSTV channel in the program name YES DOCTOR SHOW in July 2014 &amp; September 2014.</w:t>
      </w:r>
      <w:r w:rsidR="00D93315">
        <w:rPr>
          <w:rFonts w:ascii="Times New Roman" w:hAnsi="Times New Roman" w:cs="Times New Roman"/>
          <w:sz w:val="24"/>
          <w:szCs w:val="24"/>
          <w:lang w:val="en-IN"/>
        </w:rPr>
        <w:t xml:space="preserve"> She recently got Young Scientist Award 2019-2020 from VD GOOD organisation. </w:t>
      </w:r>
      <w:r>
        <w:rPr>
          <w:rFonts w:ascii="Times New Roman" w:hAnsi="Times New Roman" w:cs="Times New Roman"/>
          <w:sz w:val="24"/>
          <w:szCs w:val="24"/>
          <w:lang w:val="en-IN"/>
        </w:rPr>
        <w:t xml:space="preserve">She has </w:t>
      </w:r>
      <w:r w:rsidR="00D93315">
        <w:rPr>
          <w:rFonts w:ascii="Times New Roman" w:hAnsi="Times New Roman" w:cs="Times New Roman"/>
          <w:sz w:val="24"/>
          <w:szCs w:val="24"/>
          <w:lang w:val="en-IN"/>
        </w:rPr>
        <w:t>8</w:t>
      </w:r>
      <w:r>
        <w:rPr>
          <w:rFonts w:ascii="Times New Roman" w:hAnsi="Times New Roman" w:cs="Times New Roman"/>
          <w:sz w:val="24"/>
          <w:szCs w:val="24"/>
          <w:lang w:val="en-IN"/>
        </w:rPr>
        <w:t xml:space="preserve"> publications in various national &amp; international journals. She has </w:t>
      </w:r>
      <w:r>
        <w:rPr>
          <w:rFonts w:ascii="Times New Roman" w:hAnsi="Times New Roman" w:cs="Times New Roman"/>
          <w:sz w:val="24"/>
          <w:szCs w:val="24"/>
          <w:lang w:val="en-IN"/>
        </w:rPr>
        <w:lastRenderedPageBreak/>
        <w:t xml:space="preserve">done 3 researches. She is a part of reputed associations in India i.e. Indian Dental Association (IDA) and Indian Prosthodontic Society (IPS). She was also invited in 2018 as a </w:t>
      </w:r>
      <w:r w:rsidR="00D93315">
        <w:rPr>
          <w:rFonts w:ascii="Times New Roman" w:hAnsi="Times New Roman" w:cs="Times New Roman"/>
          <w:sz w:val="24"/>
          <w:szCs w:val="24"/>
          <w:lang w:val="en-IN"/>
        </w:rPr>
        <w:t>s</w:t>
      </w:r>
      <w:r>
        <w:rPr>
          <w:rFonts w:ascii="Times New Roman" w:hAnsi="Times New Roman" w:cs="Times New Roman"/>
          <w:sz w:val="24"/>
          <w:szCs w:val="24"/>
          <w:lang w:val="en-IN"/>
        </w:rPr>
        <w:t>peaker &amp; Chairperson in 2 international conferences to Kuala Lumpur, Malaysia and Bali, Indonesia. She has been invited in 2020 to become a Speaker in 3 International Conference.</w:t>
      </w:r>
      <w:r w:rsidR="00D93315">
        <w:rPr>
          <w:rFonts w:ascii="Times New Roman" w:hAnsi="Times New Roman" w:cs="Times New Roman"/>
          <w:sz w:val="24"/>
          <w:szCs w:val="24"/>
          <w:lang w:val="en-IN"/>
        </w:rPr>
        <w:t xml:space="preserve"> She was also a Keynote speaker in conference.</w:t>
      </w:r>
      <w:r>
        <w:rPr>
          <w:rFonts w:ascii="Times New Roman" w:hAnsi="Times New Roman" w:cs="Times New Roman"/>
          <w:sz w:val="24"/>
          <w:szCs w:val="24"/>
          <w:lang w:val="en-IN"/>
        </w:rPr>
        <w:t xml:space="preserve"> Finally, she is also a Reviewer to 1</w:t>
      </w:r>
      <w:r w:rsidR="00D93315">
        <w:rPr>
          <w:rFonts w:ascii="Times New Roman" w:hAnsi="Times New Roman" w:cs="Times New Roman"/>
          <w:sz w:val="24"/>
          <w:szCs w:val="24"/>
          <w:lang w:val="en-IN"/>
        </w:rPr>
        <w:t>1</w:t>
      </w:r>
      <w:r>
        <w:rPr>
          <w:rFonts w:ascii="Times New Roman" w:hAnsi="Times New Roman" w:cs="Times New Roman"/>
          <w:sz w:val="24"/>
          <w:szCs w:val="24"/>
          <w:lang w:val="en-IN"/>
        </w:rPr>
        <w:t xml:space="preserve"> national &amp; international journals. Editorial board member in </w:t>
      </w:r>
      <w:r w:rsidR="00D93315">
        <w:rPr>
          <w:rFonts w:ascii="Times New Roman" w:hAnsi="Times New Roman" w:cs="Times New Roman"/>
          <w:sz w:val="24"/>
          <w:szCs w:val="24"/>
          <w:lang w:val="en-IN"/>
        </w:rPr>
        <w:t>11</w:t>
      </w:r>
      <w:r>
        <w:rPr>
          <w:rFonts w:ascii="Times New Roman" w:hAnsi="Times New Roman" w:cs="Times New Roman"/>
          <w:sz w:val="24"/>
          <w:szCs w:val="24"/>
          <w:lang w:val="en-IN"/>
        </w:rPr>
        <w:t xml:space="preserve"> international journals. </w:t>
      </w:r>
    </w:p>
    <w:p w14:paraId="4B5F615F" w14:textId="77777777" w:rsidR="000B1A2D" w:rsidRDefault="000B1A2D" w:rsidP="000B1A2D">
      <w:pPr>
        <w:spacing w:after="0" w:line="240" w:lineRule="auto"/>
        <w:rPr>
          <w:rFonts w:ascii="Times New Roman" w:eastAsia="Times New Roman" w:hAnsi="Times New Roman" w:cs="Times New Roman"/>
          <w:color w:val="222222"/>
          <w:sz w:val="24"/>
          <w:szCs w:val="24"/>
          <w:lang w:val="en-US"/>
        </w:rPr>
      </w:pPr>
    </w:p>
    <w:p w14:paraId="25274A5C" w14:textId="6FE9D14D" w:rsidR="000B1A2D" w:rsidRDefault="000B1A2D" w:rsidP="000B1A2D">
      <w:pPr>
        <w:autoSpaceDE w:val="0"/>
        <w:autoSpaceDN w:val="0"/>
        <w:adjustRightInd w:val="0"/>
        <w:spacing w:after="0" w:line="240" w:lineRule="auto"/>
        <w:rPr>
          <w:rFonts w:ascii="Times New Roman" w:eastAsia="Times New Roman" w:hAnsi="Times New Roman" w:cs="Times New Roman"/>
          <w:b/>
          <w:sz w:val="24"/>
          <w:szCs w:val="24"/>
          <w:lang w:val="en-NZ" w:eastAsia="it-IT"/>
        </w:rPr>
      </w:pPr>
      <w:r>
        <w:rPr>
          <w:rFonts w:ascii="Times New Roman" w:eastAsia="Times New Roman" w:hAnsi="Times New Roman" w:cs="Times New Roman"/>
          <w:b/>
          <w:sz w:val="24"/>
          <w:szCs w:val="24"/>
          <w:u w:val="single"/>
          <w:lang w:val="en-NZ" w:eastAsia="it-IT"/>
        </w:rPr>
        <w:t>Presenting Author Details</w:t>
      </w:r>
      <w:proofErr w:type="gramStart"/>
      <w:r>
        <w:rPr>
          <w:rFonts w:ascii="Times New Roman" w:eastAsia="Times New Roman" w:hAnsi="Times New Roman" w:cs="Times New Roman"/>
          <w:b/>
          <w:sz w:val="24"/>
          <w:szCs w:val="24"/>
          <w:u w:val="single"/>
          <w:lang w:val="en-NZ" w:eastAsia="it-IT"/>
        </w:rPr>
        <w:t>:</w:t>
      </w:r>
      <w:proofErr w:type="gramEnd"/>
      <w:r>
        <w:rPr>
          <w:rFonts w:ascii="Times New Roman" w:eastAsia="Times New Roman" w:hAnsi="Times New Roman" w:cs="Times New Roman"/>
          <w:b/>
          <w:sz w:val="24"/>
          <w:szCs w:val="24"/>
          <w:lang w:val="en-NZ" w:eastAsia="it-IT"/>
        </w:rPr>
        <w:br/>
      </w:r>
      <w:r>
        <w:rPr>
          <w:rFonts w:ascii="Times New Roman" w:eastAsia="Times New Roman" w:hAnsi="Times New Roman" w:cs="Times New Roman"/>
          <w:sz w:val="24"/>
          <w:szCs w:val="24"/>
          <w:lang w:val="en-NZ" w:eastAsia="it-IT"/>
        </w:rPr>
        <w:t>Full name: Dr. Priyanka Tiwari</w:t>
      </w:r>
      <w:r>
        <w:rPr>
          <w:rFonts w:ascii="Times New Roman" w:eastAsia="Times New Roman" w:hAnsi="Times New Roman" w:cs="Times New Roman"/>
          <w:sz w:val="24"/>
          <w:szCs w:val="24"/>
          <w:lang w:val="en-NZ" w:eastAsia="it-IT"/>
        </w:rPr>
        <w:br/>
        <w:t>Contact Details (Email and Ph. Number): +60-12-8777040</w:t>
      </w:r>
      <w:r>
        <w:rPr>
          <w:rFonts w:ascii="Times New Roman" w:eastAsia="Times New Roman" w:hAnsi="Times New Roman" w:cs="Times New Roman"/>
          <w:sz w:val="24"/>
          <w:szCs w:val="24"/>
          <w:lang w:val="en-NZ" w:eastAsia="it-IT"/>
        </w:rPr>
        <w:br/>
      </w:r>
    </w:p>
    <w:p w14:paraId="530B6366" w14:textId="77777777" w:rsidR="000B1A2D" w:rsidRDefault="000B1A2D" w:rsidP="000B1A2D">
      <w:pPr>
        <w:jc w:val="center"/>
      </w:pPr>
    </w:p>
    <w:p w14:paraId="7CE94287" w14:textId="77777777" w:rsidR="005C213E" w:rsidRDefault="005C213E" w:rsidP="005C213E">
      <w:pPr>
        <w:jc w:val="center"/>
      </w:pPr>
    </w:p>
    <w:sectPr w:rsidR="005C2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13E"/>
    <w:rsid w:val="000B1A2D"/>
    <w:rsid w:val="004C7D5E"/>
    <w:rsid w:val="005C213E"/>
    <w:rsid w:val="00A24A8A"/>
    <w:rsid w:val="00D93315"/>
    <w:rsid w:val="00F37C8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E69C7"/>
  <w15:chartTrackingRefBased/>
  <w15:docId w15:val="{296A0898-3F4D-493C-8EE4-B7A90A751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38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Tiwari</dc:creator>
  <cp:keywords/>
  <dc:description/>
  <cp:lastModifiedBy>Priyanka</cp:lastModifiedBy>
  <cp:revision>2</cp:revision>
  <dcterms:created xsi:type="dcterms:W3CDTF">2022-01-06T05:37:00Z</dcterms:created>
  <dcterms:modified xsi:type="dcterms:W3CDTF">2022-01-06T05:37:00Z</dcterms:modified>
</cp:coreProperties>
</file>