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858FE6" w14:textId="50A91610" w:rsidR="00C0506A" w:rsidRPr="00275BE6" w:rsidRDefault="00C0506A" w:rsidP="00C0506A">
      <w:pPr>
        <w:ind w:left="120" w:right="126" w:firstLine="648"/>
        <w:rPr>
          <w:rFonts w:ascii="Times New Roman" w:eastAsia="Arial" w:hAnsi="Times New Roman" w:cs="Times New Roman"/>
          <w:b/>
          <w:bCs/>
          <w:color w:val="4F81BD" w:themeColor="accent1"/>
          <w:sz w:val="36"/>
          <w:szCs w:val="36"/>
        </w:rPr>
      </w:pPr>
      <w:r w:rsidRPr="00275BE6">
        <w:rPr>
          <w:rFonts w:ascii="Times New Roman" w:eastAsia="Arial" w:hAnsi="Times New Roman" w:cs="Times New Roman"/>
          <w:b/>
          <w:bCs/>
          <w:color w:val="4F81BD" w:themeColor="accent1"/>
          <w:sz w:val="36"/>
          <w:szCs w:val="36"/>
        </w:rPr>
        <w:t xml:space="preserve">Effect of </w:t>
      </w:r>
      <w:r w:rsidR="002D3097" w:rsidRPr="00275BE6">
        <w:rPr>
          <w:rFonts w:ascii="Times New Roman" w:eastAsia="Arial" w:hAnsi="Times New Roman" w:cs="Times New Roman"/>
          <w:b/>
          <w:bCs/>
          <w:color w:val="4F81BD" w:themeColor="accent1"/>
          <w:sz w:val="36"/>
          <w:szCs w:val="36"/>
        </w:rPr>
        <w:t>Double Antibiotic Paste and Calcium Hydroxide</w:t>
      </w:r>
      <w:r w:rsidRPr="00275BE6">
        <w:rPr>
          <w:rFonts w:ascii="Times New Roman" w:eastAsia="Arial" w:hAnsi="Times New Roman" w:cs="Times New Roman"/>
          <w:b/>
          <w:bCs/>
          <w:color w:val="4F81BD" w:themeColor="accent1"/>
          <w:sz w:val="36"/>
          <w:szCs w:val="36"/>
        </w:rPr>
        <w:t xml:space="preserve"> on stem cell viability and their attachment to irrigated dentin; an</w:t>
      </w:r>
      <w:r w:rsidRPr="00275BE6">
        <w:rPr>
          <w:rFonts w:ascii="Times New Roman" w:eastAsia="Arial" w:hAnsi="Times New Roman" w:cs="Times New Roman"/>
          <w:b/>
          <w:bCs/>
          <w:i/>
          <w:color w:val="4F81BD" w:themeColor="accent1"/>
          <w:sz w:val="36"/>
          <w:szCs w:val="36"/>
        </w:rPr>
        <w:t xml:space="preserve"> in</w:t>
      </w:r>
      <w:r w:rsidR="002D3097" w:rsidRPr="00275BE6">
        <w:rPr>
          <w:rFonts w:ascii="Times New Roman" w:eastAsia="Arial" w:hAnsi="Times New Roman" w:cs="Times New Roman"/>
          <w:b/>
          <w:bCs/>
          <w:i/>
          <w:color w:val="4F81BD" w:themeColor="accent1"/>
          <w:sz w:val="36"/>
          <w:szCs w:val="36"/>
        </w:rPr>
        <w:t xml:space="preserve"> </w:t>
      </w:r>
      <w:r w:rsidRPr="00275BE6">
        <w:rPr>
          <w:rFonts w:ascii="Times New Roman" w:eastAsia="Arial" w:hAnsi="Times New Roman" w:cs="Times New Roman"/>
          <w:b/>
          <w:bCs/>
          <w:i/>
          <w:color w:val="4F81BD" w:themeColor="accent1"/>
          <w:sz w:val="36"/>
          <w:szCs w:val="36"/>
        </w:rPr>
        <w:t>vitro</w:t>
      </w:r>
      <w:r w:rsidRPr="00275BE6">
        <w:rPr>
          <w:rFonts w:ascii="Times New Roman" w:eastAsia="Arial" w:hAnsi="Times New Roman" w:cs="Times New Roman"/>
          <w:b/>
          <w:bCs/>
          <w:color w:val="4F81BD" w:themeColor="accent1"/>
          <w:sz w:val="36"/>
          <w:szCs w:val="36"/>
        </w:rPr>
        <w:t xml:space="preserve"> study</w:t>
      </w:r>
    </w:p>
    <w:p w14:paraId="34A78212" w14:textId="5416CF79" w:rsidR="005973B9" w:rsidRDefault="002D3097" w:rsidP="005973B9">
      <w:pPr>
        <w:pStyle w:val="BodyText"/>
        <w:spacing w:before="73" w:line="198" w:lineRule="exact"/>
        <w:ind w:left="100" w:right="5987"/>
        <w:rPr>
          <w:rFonts w:ascii="Arial"/>
        </w:rPr>
      </w:pPr>
      <w:r>
        <w:rPr>
          <w:rFonts w:ascii="Arial"/>
        </w:rPr>
        <w:t>Samiya Riaz</w:t>
      </w:r>
      <w:r w:rsidR="005973B9">
        <w:rPr>
          <w:rFonts w:ascii="Arial"/>
        </w:rPr>
        <w:t xml:space="preserve">, </w:t>
      </w:r>
      <w:r>
        <w:rPr>
          <w:rFonts w:ascii="Arial"/>
        </w:rPr>
        <w:t>BDS</w:t>
      </w:r>
      <w:r w:rsidR="005973B9">
        <w:rPr>
          <w:rFonts w:ascii="Arial"/>
        </w:rPr>
        <w:t xml:space="preserve">, </w:t>
      </w:r>
      <w:r>
        <w:rPr>
          <w:rFonts w:ascii="Arial"/>
        </w:rPr>
        <w:t>Universiti Sains Malaysia</w:t>
      </w:r>
      <w:r w:rsidR="005973B9">
        <w:rPr>
          <w:rFonts w:ascii="Arial"/>
        </w:rPr>
        <w:t xml:space="preserve">, </w:t>
      </w:r>
      <w:r>
        <w:rPr>
          <w:rFonts w:ascii="Arial"/>
        </w:rPr>
        <w:t>Malaysia</w:t>
      </w:r>
      <w:r w:rsidR="005973B9">
        <w:rPr>
          <w:rFonts w:ascii="Arial"/>
        </w:rPr>
        <w:t xml:space="preserve"> </w:t>
      </w:r>
      <w:r>
        <w:rPr>
          <w:rFonts w:ascii="Arial"/>
        </w:rPr>
        <w:t>Aung Thu Htun</w:t>
      </w:r>
      <w:r w:rsidR="005973B9">
        <w:rPr>
          <w:rFonts w:ascii="Arial"/>
        </w:rPr>
        <w:t xml:space="preserve">, </w:t>
      </w:r>
      <w:r>
        <w:rPr>
          <w:rFonts w:ascii="Arial"/>
        </w:rPr>
        <w:t>BDS, MDSc</w:t>
      </w:r>
      <w:r w:rsidR="005973B9">
        <w:rPr>
          <w:rFonts w:ascii="Arial"/>
        </w:rPr>
        <w:t xml:space="preserve">, </w:t>
      </w:r>
      <w:r>
        <w:rPr>
          <w:rFonts w:ascii="Arial"/>
        </w:rPr>
        <w:t>Universiti Sains Malaysia, Malaysia</w:t>
      </w:r>
    </w:p>
    <w:p w14:paraId="49058BC5" w14:textId="18CBEFA2" w:rsidR="002D3097" w:rsidRDefault="002D3097" w:rsidP="005973B9">
      <w:pPr>
        <w:pStyle w:val="BodyText"/>
        <w:spacing w:before="73" w:line="198" w:lineRule="exact"/>
        <w:ind w:left="100" w:right="5987"/>
        <w:rPr>
          <w:rFonts w:ascii="Arial"/>
        </w:rPr>
      </w:pPr>
      <w:r>
        <w:rPr>
          <w:rFonts w:ascii="Arial"/>
        </w:rPr>
        <w:t>Ahmad Azlina, BSc, MSc, PhD. Universiti Sains Malaysia, Malaysia</w:t>
      </w:r>
    </w:p>
    <w:p w14:paraId="1935B6DF" w14:textId="77777777" w:rsidR="00AE3E37" w:rsidRDefault="00AE3E37">
      <w:pPr>
        <w:pStyle w:val="BodyText"/>
        <w:rPr>
          <w:rFonts w:ascii="Arial"/>
          <w:sz w:val="20"/>
        </w:rPr>
      </w:pPr>
    </w:p>
    <w:p w14:paraId="3CB543AE" w14:textId="77777777" w:rsidR="00AE3E37" w:rsidRDefault="00AE3E37">
      <w:pPr>
        <w:pStyle w:val="BodyText"/>
        <w:spacing w:before="3"/>
        <w:rPr>
          <w:rFonts w:ascii="Arial"/>
          <w:sz w:val="21"/>
        </w:rPr>
      </w:pPr>
    </w:p>
    <w:p w14:paraId="10F24CA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A740986" w14:textId="0A223BEA" w:rsidR="00AE3E37" w:rsidRDefault="00A9710C">
      <w:pPr>
        <w:pStyle w:val="Heading3"/>
        <w:spacing w:before="147"/>
        <w:jc w:val="both"/>
      </w:pPr>
      <w:r>
        <w:rPr>
          <w:color w:val="BF5A14"/>
        </w:rPr>
        <w:lastRenderedPageBreak/>
        <w:t>Abstract</w:t>
      </w:r>
      <w:r w:rsidR="00404E5B">
        <w:rPr>
          <w:color w:val="BF5A14"/>
        </w:rPr>
        <w:t xml:space="preserve"> </w:t>
      </w:r>
    </w:p>
    <w:p w14:paraId="37254010" w14:textId="442D7972" w:rsidR="00C0506A" w:rsidRDefault="00C0506A" w:rsidP="00C0506A">
      <w:pPr>
        <w:pStyle w:val="Heading3"/>
        <w:spacing w:before="74"/>
        <w:rPr>
          <w:b w:val="0"/>
          <w:sz w:val="18"/>
          <w:szCs w:val="18"/>
        </w:rPr>
      </w:pPr>
      <w:r>
        <w:rPr>
          <w:b w:val="0"/>
          <w:sz w:val="18"/>
          <w:szCs w:val="18"/>
        </w:rPr>
        <w:t>Statement of the problem</w:t>
      </w:r>
      <w:r w:rsidRPr="00C0506A">
        <w:rPr>
          <w:b w:val="0"/>
          <w:sz w:val="18"/>
          <w:szCs w:val="18"/>
        </w:rPr>
        <w:t xml:space="preserve">: Regenerative endodontics </w:t>
      </w:r>
      <w:r w:rsidR="002169A0">
        <w:rPr>
          <w:b w:val="0"/>
          <w:sz w:val="18"/>
          <w:szCs w:val="18"/>
        </w:rPr>
        <w:t>has emerged as a</w:t>
      </w:r>
      <w:r w:rsidRPr="00C0506A">
        <w:rPr>
          <w:b w:val="0"/>
          <w:sz w:val="18"/>
          <w:szCs w:val="18"/>
        </w:rPr>
        <w:t xml:space="preserve"> new treatment modality for immature permanent teeth with necrotic pulp. </w:t>
      </w:r>
      <w:r w:rsidR="002169A0">
        <w:rPr>
          <w:b w:val="0"/>
          <w:sz w:val="18"/>
          <w:szCs w:val="18"/>
        </w:rPr>
        <w:t>Conventional treatment procedures resulted with poor prognosis in terms of root maturation and apex closure due to loss of stem cells as a result of mechanical debridement. Regenerative endodontics preserves these stem cells by minimal or no instrumentation. Chemical</w:t>
      </w:r>
      <w:r w:rsidRPr="00C0506A">
        <w:rPr>
          <w:b w:val="0"/>
          <w:sz w:val="18"/>
          <w:szCs w:val="18"/>
        </w:rPr>
        <w:t xml:space="preserve"> irrigation followed by</w:t>
      </w:r>
      <w:r w:rsidR="002169A0">
        <w:rPr>
          <w:b w:val="0"/>
          <w:sz w:val="18"/>
          <w:szCs w:val="18"/>
        </w:rPr>
        <w:t xml:space="preserve"> treatment with</w:t>
      </w:r>
      <w:r w:rsidRPr="00C0506A">
        <w:rPr>
          <w:b w:val="0"/>
          <w:sz w:val="18"/>
          <w:szCs w:val="18"/>
        </w:rPr>
        <w:t xml:space="preserve"> intracanal medicaments promotes ingress of stem cells. This results in renewal of pulp vitality and further root maturation. Ideally these medicaments should be Dental Pulp Stem Cells (DPSC) friendly and promote cell attachment to </w:t>
      </w:r>
      <w:r w:rsidR="002169A0" w:rsidRPr="00C0506A">
        <w:rPr>
          <w:b w:val="0"/>
          <w:sz w:val="18"/>
          <w:szCs w:val="18"/>
        </w:rPr>
        <w:t>dentine. Objective</w:t>
      </w:r>
      <w:r w:rsidRPr="00C0506A">
        <w:rPr>
          <w:b w:val="0"/>
          <w:sz w:val="18"/>
          <w:szCs w:val="18"/>
        </w:rPr>
        <w:t>: To compare the effects of Ca(OH)</w:t>
      </w:r>
      <w:r w:rsidRPr="00C0506A">
        <w:rPr>
          <w:b w:val="0"/>
          <w:sz w:val="18"/>
          <w:szCs w:val="18"/>
          <w:vertAlign w:val="subscript"/>
        </w:rPr>
        <w:t>2</w:t>
      </w:r>
      <w:r w:rsidR="002169A0" w:rsidRPr="002169A0">
        <w:rPr>
          <w:b w:val="0"/>
          <w:sz w:val="18"/>
          <w:szCs w:val="18"/>
        </w:rPr>
        <w:t>(Calcium hydroxide)</w:t>
      </w:r>
      <w:r w:rsidRPr="00C0506A">
        <w:rPr>
          <w:b w:val="0"/>
          <w:sz w:val="18"/>
          <w:szCs w:val="18"/>
        </w:rPr>
        <w:t xml:space="preserve"> and DAP </w:t>
      </w:r>
      <w:r w:rsidR="002169A0">
        <w:rPr>
          <w:b w:val="0"/>
          <w:sz w:val="18"/>
          <w:szCs w:val="18"/>
        </w:rPr>
        <w:t xml:space="preserve">(Double antibiotic paste) </w:t>
      </w:r>
      <w:r w:rsidRPr="00C0506A">
        <w:rPr>
          <w:b w:val="0"/>
          <w:sz w:val="18"/>
          <w:szCs w:val="18"/>
        </w:rPr>
        <w:t xml:space="preserve">on DPSC attachment to irrigated radicular </w:t>
      </w:r>
      <w:r w:rsidR="002169A0" w:rsidRPr="00C0506A">
        <w:rPr>
          <w:b w:val="0"/>
          <w:sz w:val="18"/>
          <w:szCs w:val="18"/>
        </w:rPr>
        <w:t>dentin. Methodology</w:t>
      </w:r>
      <w:r w:rsidRPr="00C0506A">
        <w:rPr>
          <w:b w:val="0"/>
          <w:sz w:val="18"/>
          <w:szCs w:val="18"/>
        </w:rPr>
        <w:t>: 12 dental chips(4*4mm) were irrigated with 1.5% sodium hypochlorite followed by normal saline rinse. Group-1 dental chips (n=5) were treated with DAP 1mg/ml, group-2 (n=5) with commercial Ca(OH)</w:t>
      </w:r>
      <w:r w:rsidRPr="00C0506A">
        <w:rPr>
          <w:b w:val="0"/>
          <w:sz w:val="18"/>
          <w:szCs w:val="18"/>
          <w:vertAlign w:val="subscript"/>
        </w:rPr>
        <w:t>2</w:t>
      </w:r>
      <w:r w:rsidRPr="00C0506A">
        <w:rPr>
          <w:b w:val="0"/>
          <w:sz w:val="18"/>
          <w:szCs w:val="18"/>
        </w:rPr>
        <w:t xml:space="preserve"> and group-3 (n=2) with no medicament as controls. After </w:t>
      </w:r>
      <w:r w:rsidR="002169A0">
        <w:rPr>
          <w:b w:val="0"/>
          <w:sz w:val="18"/>
          <w:szCs w:val="18"/>
        </w:rPr>
        <w:t>incubation of 4 weeks</w:t>
      </w:r>
      <w:r w:rsidRPr="00C0506A">
        <w:rPr>
          <w:b w:val="0"/>
          <w:sz w:val="18"/>
          <w:szCs w:val="18"/>
        </w:rPr>
        <w:t>, the samples were rinsed with</w:t>
      </w:r>
      <w:r w:rsidR="002169A0">
        <w:rPr>
          <w:b w:val="0"/>
          <w:sz w:val="18"/>
          <w:szCs w:val="18"/>
        </w:rPr>
        <w:t xml:space="preserve"> NaCl (</w:t>
      </w:r>
      <w:r w:rsidR="002169A0" w:rsidRPr="00C0506A">
        <w:rPr>
          <w:b w:val="0"/>
          <w:sz w:val="18"/>
          <w:szCs w:val="18"/>
        </w:rPr>
        <w:t>normal</w:t>
      </w:r>
      <w:r w:rsidRPr="00C0506A">
        <w:rPr>
          <w:b w:val="0"/>
          <w:sz w:val="18"/>
          <w:szCs w:val="18"/>
        </w:rPr>
        <w:t xml:space="preserve"> saline</w:t>
      </w:r>
      <w:r w:rsidR="002169A0">
        <w:rPr>
          <w:b w:val="0"/>
          <w:sz w:val="18"/>
          <w:szCs w:val="18"/>
        </w:rPr>
        <w:t xml:space="preserve">) to remove the remnants of intracanal </w:t>
      </w:r>
      <w:r w:rsidR="002D3097">
        <w:rPr>
          <w:b w:val="0"/>
          <w:sz w:val="18"/>
          <w:szCs w:val="18"/>
        </w:rPr>
        <w:t>medicaments</w:t>
      </w:r>
      <w:r w:rsidRPr="00C0506A">
        <w:rPr>
          <w:b w:val="0"/>
          <w:sz w:val="18"/>
          <w:szCs w:val="18"/>
        </w:rPr>
        <w:t xml:space="preserve">. DPSC from passage 7-8 were seeded onto the samples and allowed to attach to the dentinal surface. Presto blue viability assay was performed on day 1, 3 and 7. After 7 days, samples were prepared for SEM imaging and which were analysed to appreciate the attachment of stem cell to </w:t>
      </w:r>
      <w:r w:rsidR="002D3097" w:rsidRPr="00C0506A">
        <w:rPr>
          <w:b w:val="0"/>
          <w:sz w:val="18"/>
          <w:szCs w:val="18"/>
        </w:rPr>
        <w:t>dentin. Results</w:t>
      </w:r>
      <w:r w:rsidRPr="00C0506A">
        <w:rPr>
          <w:b w:val="0"/>
          <w:sz w:val="18"/>
          <w:szCs w:val="18"/>
        </w:rPr>
        <w:t>: Ca(OH)</w:t>
      </w:r>
      <w:r w:rsidRPr="00C0506A">
        <w:rPr>
          <w:b w:val="0"/>
          <w:sz w:val="18"/>
          <w:szCs w:val="18"/>
          <w:vertAlign w:val="subscript"/>
        </w:rPr>
        <w:t xml:space="preserve">2 </w:t>
      </w:r>
      <w:r w:rsidRPr="00C0506A">
        <w:rPr>
          <w:b w:val="0"/>
          <w:sz w:val="18"/>
          <w:szCs w:val="18"/>
        </w:rPr>
        <w:t>treated samples showed</w:t>
      </w:r>
      <w:proofErr w:type="gramStart"/>
      <w:r w:rsidR="002169A0">
        <w:rPr>
          <w:b w:val="0"/>
          <w:sz w:val="18"/>
          <w:szCs w:val="18"/>
        </w:rPr>
        <w:t>. .</w:t>
      </w:r>
      <w:proofErr w:type="gramEnd"/>
      <w:r w:rsidRPr="00C0506A">
        <w:rPr>
          <w:b w:val="0"/>
          <w:sz w:val="18"/>
          <w:szCs w:val="18"/>
        </w:rPr>
        <w:t xml:space="preserve"> better cell viability and attachment of DPSC compared to the DAP treated samples (P&lt;0.05</w:t>
      </w:r>
      <w:r w:rsidR="002D3097" w:rsidRPr="00C0506A">
        <w:rPr>
          <w:b w:val="0"/>
          <w:sz w:val="18"/>
          <w:szCs w:val="18"/>
        </w:rPr>
        <w:t>).</w:t>
      </w:r>
      <w:r w:rsidR="002D3097">
        <w:rPr>
          <w:b w:val="0"/>
          <w:sz w:val="18"/>
          <w:szCs w:val="18"/>
        </w:rPr>
        <w:t xml:space="preserve"> SEM</w:t>
      </w:r>
      <w:r>
        <w:rPr>
          <w:b w:val="0"/>
          <w:sz w:val="18"/>
          <w:szCs w:val="18"/>
        </w:rPr>
        <w:t xml:space="preserve"> images showed significant</w:t>
      </w:r>
      <w:r w:rsidR="002D3097" w:rsidRPr="002D3097">
        <w:rPr>
          <w:rFonts w:ascii="Tw Cen MT" w:eastAsia="Tw Cen MT" w:hAnsi="Tw Cen MT" w:cs="Tw Cen MT"/>
          <w:bCs w:val="0"/>
          <w:sz w:val="18"/>
          <w:szCs w:val="18"/>
        </w:rPr>
        <w:t xml:space="preserve"> </w:t>
      </w:r>
      <w:r w:rsidR="002D3097" w:rsidRPr="002D3097">
        <w:rPr>
          <w:b w:val="0"/>
          <w:sz w:val="18"/>
          <w:szCs w:val="18"/>
        </w:rPr>
        <w:t>showed widespread fibrous layer of cells attached overlapping each other. DAP treated samples showed insignificant number of attached cells</w:t>
      </w:r>
      <w:r w:rsidR="002D3097">
        <w:rPr>
          <w:b w:val="0"/>
          <w:sz w:val="18"/>
          <w:szCs w:val="18"/>
        </w:rPr>
        <w:t xml:space="preserve"> Conclusion</w:t>
      </w:r>
      <w:r w:rsidRPr="00C0506A">
        <w:rPr>
          <w:b w:val="0"/>
          <w:sz w:val="18"/>
          <w:szCs w:val="18"/>
        </w:rPr>
        <w:t>: Dentin conditioning with Ca(OH)</w:t>
      </w:r>
      <w:r w:rsidRPr="00C0506A">
        <w:rPr>
          <w:b w:val="0"/>
          <w:sz w:val="18"/>
          <w:szCs w:val="18"/>
          <w:vertAlign w:val="subscript"/>
        </w:rPr>
        <w:t>2</w:t>
      </w:r>
      <w:r w:rsidRPr="00C0506A">
        <w:rPr>
          <w:b w:val="0"/>
          <w:sz w:val="18"/>
          <w:szCs w:val="18"/>
        </w:rPr>
        <w:t xml:space="preserve"> significantly promotes DPSC survival, proliferation and attachment to the dentinal surface.</w:t>
      </w:r>
    </w:p>
    <w:p w14:paraId="65018B04" w14:textId="1DFE3A02" w:rsidR="004750F0" w:rsidRDefault="00A9710C">
      <w:pPr>
        <w:pStyle w:val="Heading3"/>
        <w:spacing w:before="74"/>
        <w:rPr>
          <w:color w:val="BF5A14"/>
        </w:rPr>
      </w:pPr>
      <w:r>
        <w:rPr>
          <w:color w:val="BF5A14"/>
        </w:rPr>
        <w:t>Image</w:t>
      </w:r>
    </w:p>
    <w:p w14:paraId="1E11BF2D" w14:textId="4C8176E6" w:rsidR="00AE3E37" w:rsidRDefault="004750F0">
      <w:pPr>
        <w:pStyle w:val="Heading3"/>
        <w:spacing w:before="74"/>
      </w:pPr>
      <w:r w:rsidRPr="004750F0">
        <w:rPr>
          <w:rFonts w:ascii="Verdana" w:eastAsia="Calibri" w:hAnsi="Verdana" w:cs="Times New Roman"/>
          <w:b w:val="0"/>
          <w:bCs w:val="0"/>
          <w:noProof/>
          <w:color w:val="000000"/>
          <w:sz w:val="17"/>
          <w:szCs w:val="17"/>
        </w:rPr>
        <w:drawing>
          <wp:inline distT="0" distB="0" distL="0" distR="0" wp14:anchorId="6C65BD7E" wp14:editId="161C4CFD">
            <wp:extent cx="2400300" cy="1600200"/>
            <wp:effectExtent l="0" t="0" r="0" b="0"/>
            <wp:docPr id="2" name="Picture 2" descr="Stem cell viability day 1,3 an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 cell viability day 1,3 and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13964" cy="1609309"/>
                    </a:xfrm>
                    <a:prstGeom prst="rect">
                      <a:avLst/>
                    </a:prstGeom>
                    <a:noFill/>
                    <a:ln>
                      <a:noFill/>
                    </a:ln>
                  </pic:spPr>
                </pic:pic>
              </a:graphicData>
            </a:graphic>
          </wp:inline>
        </w:drawing>
      </w:r>
    </w:p>
    <w:p w14:paraId="1DBB36E4" w14:textId="77777777" w:rsidR="004973C9" w:rsidRDefault="004973C9">
      <w:pPr>
        <w:pStyle w:val="Heading3"/>
        <w:spacing w:before="74"/>
      </w:pPr>
    </w:p>
    <w:p w14:paraId="768A60D4" w14:textId="77777777" w:rsidR="004F4D05" w:rsidRDefault="004F4D05">
      <w:pPr>
        <w:pStyle w:val="Heading3"/>
        <w:spacing w:before="74"/>
      </w:pPr>
    </w:p>
    <w:p w14:paraId="7A0C8994" w14:textId="5D1F37A1" w:rsidR="00557003" w:rsidRDefault="004F4D05" w:rsidP="00557003">
      <w:pPr>
        <w:pStyle w:val="BodyText"/>
        <w:keepNext/>
        <w:spacing w:before="2"/>
      </w:pPr>
      <w:r>
        <w:rPr>
          <w:rFonts w:ascii="Verdana" w:hAnsi="Verdana"/>
          <w:noProof/>
          <w:color w:val="000000"/>
          <w:sz w:val="17"/>
          <w:szCs w:val="17"/>
        </w:rPr>
        <w:drawing>
          <wp:inline distT="0" distB="0" distL="0" distR="0" wp14:anchorId="413A3504" wp14:editId="1C0CB2F0">
            <wp:extent cx="962025" cy="962025"/>
            <wp:effectExtent l="0" t="0" r="9525" b="9525"/>
            <wp:docPr id="1" name="Picture 1" descr="DPSC attachment to CaOH treated sam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SC attachment to CaOH treated sample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r w:rsidR="00557003">
        <w:t xml:space="preserve">                        </w:t>
      </w:r>
      <w:r w:rsidR="00557003">
        <w:rPr>
          <w:rFonts w:ascii="Verdana" w:hAnsi="Verdana"/>
          <w:noProof/>
          <w:color w:val="000000"/>
          <w:sz w:val="17"/>
          <w:szCs w:val="17"/>
        </w:rPr>
        <w:drawing>
          <wp:inline distT="0" distB="0" distL="0" distR="0" wp14:anchorId="38A15429" wp14:editId="202682A9">
            <wp:extent cx="971550" cy="971550"/>
            <wp:effectExtent l="0" t="0" r="0" b="0"/>
            <wp:docPr id="4" name="Picture 4" descr="DPSC attachment to DAP treated sam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SC attachment to DAP treated sampl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p w14:paraId="119B1461" w14:textId="38AF9365" w:rsidR="00557003" w:rsidRPr="00557003" w:rsidRDefault="00557003" w:rsidP="00557003">
      <w:pPr>
        <w:pStyle w:val="Caption"/>
        <w:rPr>
          <w:sz w:val="16"/>
          <w:szCs w:val="16"/>
        </w:rPr>
      </w:pPr>
      <w:r w:rsidRPr="00557003">
        <w:rPr>
          <w:sz w:val="16"/>
          <w:szCs w:val="16"/>
        </w:rPr>
        <w:t xml:space="preserve">Figure </w:t>
      </w:r>
      <w:r w:rsidRPr="00557003">
        <w:rPr>
          <w:sz w:val="16"/>
          <w:szCs w:val="16"/>
        </w:rPr>
        <w:fldChar w:fldCharType="begin"/>
      </w:r>
      <w:r w:rsidRPr="00557003">
        <w:rPr>
          <w:sz w:val="16"/>
          <w:szCs w:val="16"/>
        </w:rPr>
        <w:instrText xml:space="preserve"> SEQ Figure \* ARABIC </w:instrText>
      </w:r>
      <w:r w:rsidRPr="00557003">
        <w:rPr>
          <w:sz w:val="16"/>
          <w:szCs w:val="16"/>
        </w:rPr>
        <w:fldChar w:fldCharType="separate"/>
      </w:r>
      <w:r w:rsidRPr="00557003">
        <w:rPr>
          <w:noProof/>
          <w:sz w:val="16"/>
          <w:szCs w:val="16"/>
        </w:rPr>
        <w:t>1</w:t>
      </w:r>
      <w:r w:rsidRPr="00557003">
        <w:rPr>
          <w:sz w:val="16"/>
          <w:szCs w:val="16"/>
        </w:rPr>
        <w:fldChar w:fldCharType="end"/>
      </w:r>
      <w:r>
        <w:rPr>
          <w:sz w:val="16"/>
          <w:szCs w:val="16"/>
        </w:rPr>
        <w:t xml:space="preserve">. </w:t>
      </w:r>
      <w:r w:rsidRPr="00557003">
        <w:rPr>
          <w:sz w:val="16"/>
          <w:szCs w:val="16"/>
        </w:rPr>
        <w:t>Ca(OH)2 treated samples</w:t>
      </w:r>
      <w:r>
        <w:rPr>
          <w:sz w:val="16"/>
          <w:szCs w:val="16"/>
        </w:rPr>
        <w:t xml:space="preserve">            </w:t>
      </w:r>
      <w:r w:rsidRPr="00557003">
        <w:rPr>
          <w:sz w:val="16"/>
          <w:szCs w:val="16"/>
        </w:rPr>
        <w:t xml:space="preserve">Figure </w:t>
      </w:r>
      <w:r w:rsidRPr="00557003">
        <w:rPr>
          <w:sz w:val="16"/>
          <w:szCs w:val="16"/>
        </w:rPr>
        <w:fldChar w:fldCharType="begin"/>
      </w:r>
      <w:r w:rsidRPr="00557003">
        <w:rPr>
          <w:sz w:val="16"/>
          <w:szCs w:val="16"/>
        </w:rPr>
        <w:instrText xml:space="preserve"> SEQ Figure \* ARABIC </w:instrText>
      </w:r>
      <w:r w:rsidRPr="00557003">
        <w:rPr>
          <w:sz w:val="16"/>
          <w:szCs w:val="16"/>
        </w:rPr>
        <w:fldChar w:fldCharType="separate"/>
      </w:r>
      <w:r w:rsidRPr="00557003">
        <w:rPr>
          <w:noProof/>
          <w:sz w:val="16"/>
          <w:szCs w:val="16"/>
        </w:rPr>
        <w:t>2</w:t>
      </w:r>
      <w:r w:rsidRPr="00557003">
        <w:rPr>
          <w:sz w:val="16"/>
          <w:szCs w:val="16"/>
        </w:rPr>
        <w:fldChar w:fldCharType="end"/>
      </w:r>
      <w:r>
        <w:rPr>
          <w:sz w:val="16"/>
          <w:szCs w:val="16"/>
        </w:rPr>
        <w:t>.</w:t>
      </w:r>
      <w:r w:rsidRPr="00557003">
        <w:rPr>
          <w:sz w:val="16"/>
          <w:szCs w:val="16"/>
        </w:rPr>
        <w:t xml:space="preserve"> DAP treated samples</w:t>
      </w:r>
    </w:p>
    <w:p w14:paraId="13CEDDBE" w14:textId="77777777" w:rsidR="00557003" w:rsidRDefault="004F4D05" w:rsidP="00557003">
      <w:pPr>
        <w:pStyle w:val="BodyText"/>
        <w:keepNext/>
        <w:spacing w:before="2"/>
      </w:pPr>
      <w:r>
        <w:rPr>
          <w:rFonts w:ascii="Verdana" w:hAnsi="Verdana"/>
          <w:noProof/>
          <w:color w:val="000000"/>
          <w:sz w:val="17"/>
          <w:szCs w:val="17"/>
        </w:rPr>
        <w:drawing>
          <wp:inline distT="0" distB="0" distL="0" distR="0" wp14:anchorId="0596B3CA" wp14:editId="2919770F">
            <wp:extent cx="962025" cy="962025"/>
            <wp:effectExtent l="0" t="0" r="9525" b="9525"/>
            <wp:docPr id="5" name="Picture 5" descr="DPSC attachment to samples irrigated with distilled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PSC attachment to samples irrigated with distilled wate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p>
    <w:p w14:paraId="0B648F49" w14:textId="42B64EA0" w:rsidR="005973B9" w:rsidRPr="00557003" w:rsidRDefault="00557003" w:rsidP="00557003">
      <w:pPr>
        <w:pStyle w:val="Caption"/>
        <w:rPr>
          <w:rFonts w:ascii="Arial"/>
          <w:b/>
          <w:sz w:val="16"/>
          <w:szCs w:val="16"/>
        </w:rPr>
      </w:pPr>
      <w:r w:rsidRPr="00557003">
        <w:rPr>
          <w:sz w:val="16"/>
          <w:szCs w:val="16"/>
        </w:rPr>
        <w:t xml:space="preserve">Figure </w:t>
      </w:r>
      <w:r w:rsidRPr="00557003">
        <w:rPr>
          <w:sz w:val="16"/>
          <w:szCs w:val="16"/>
        </w:rPr>
        <w:fldChar w:fldCharType="begin"/>
      </w:r>
      <w:r w:rsidRPr="00557003">
        <w:rPr>
          <w:sz w:val="16"/>
          <w:szCs w:val="16"/>
        </w:rPr>
        <w:instrText xml:space="preserve"> SEQ Figure \* ARABIC </w:instrText>
      </w:r>
      <w:r w:rsidRPr="00557003">
        <w:rPr>
          <w:sz w:val="16"/>
          <w:szCs w:val="16"/>
        </w:rPr>
        <w:fldChar w:fldCharType="separate"/>
      </w:r>
      <w:r w:rsidRPr="00557003">
        <w:rPr>
          <w:noProof/>
          <w:sz w:val="16"/>
          <w:szCs w:val="16"/>
        </w:rPr>
        <w:t>3</w:t>
      </w:r>
      <w:r w:rsidRPr="00557003">
        <w:rPr>
          <w:sz w:val="16"/>
          <w:szCs w:val="16"/>
        </w:rPr>
        <w:fldChar w:fldCharType="end"/>
      </w:r>
      <w:r>
        <w:rPr>
          <w:sz w:val="16"/>
          <w:szCs w:val="16"/>
        </w:rPr>
        <w:t>.</w:t>
      </w:r>
      <w:r w:rsidRPr="00557003">
        <w:rPr>
          <w:sz w:val="16"/>
          <w:szCs w:val="16"/>
        </w:rPr>
        <w:t xml:space="preserve"> Samples with no treatment(normal saline)</w:t>
      </w:r>
      <w:r w:rsidR="005973B9">
        <w:rPr>
          <w:rFonts w:ascii="Arial"/>
          <w:b/>
          <w:color w:val="BF5A14"/>
          <w:sz w:val="20"/>
        </w:rPr>
        <w:br/>
        <w:t>Recent Publications (</w:t>
      </w:r>
      <w:r w:rsidR="00C81181">
        <w:rPr>
          <w:rFonts w:ascii="Arial"/>
          <w:b/>
          <w:color w:val="BF5A14"/>
          <w:sz w:val="20"/>
        </w:rPr>
        <w:t>if any</w:t>
      </w:r>
      <w:r w:rsidR="005973B9">
        <w:rPr>
          <w:rFonts w:ascii="Arial"/>
          <w:b/>
          <w:color w:val="BF5A14"/>
          <w:sz w:val="20"/>
        </w:rPr>
        <w:t>)</w:t>
      </w:r>
    </w:p>
    <w:p w14:paraId="081CAA7B" w14:textId="77777777" w:rsidR="00487C75" w:rsidRPr="00487C75" w:rsidRDefault="00487C75" w:rsidP="00487C75">
      <w:pPr>
        <w:pStyle w:val="ListParagraph"/>
        <w:numPr>
          <w:ilvl w:val="0"/>
          <w:numId w:val="3"/>
        </w:numPr>
        <w:tabs>
          <w:tab w:val="left" w:pos="384"/>
        </w:tabs>
        <w:spacing w:before="92" w:line="218" w:lineRule="exact"/>
      </w:pPr>
      <w:r w:rsidRPr="00487C75">
        <w:rPr>
          <w:sz w:val="18"/>
        </w:rPr>
        <w:t>Sabrah, A. H. A., Yassen, G. H., Spolnik, K. J., Hara, A. T., Platt, J. A. and Gregory, R. L. (2015) ‘Evaluation of Residual Antibacterial Effect of Human Radicular Dentin Treated with Triple and Double Antibiotic Pastes’, Journal of Endodontics, 41(7), pp. 1081–1084. doi: 10.1016/j.joen.2015.03.001.</w:t>
      </w:r>
    </w:p>
    <w:p w14:paraId="3AB2676E" w14:textId="2221DCB4" w:rsidR="002D3097" w:rsidRPr="002D3097" w:rsidRDefault="002D3097" w:rsidP="00487C75">
      <w:pPr>
        <w:pStyle w:val="ListParagraph"/>
        <w:numPr>
          <w:ilvl w:val="0"/>
          <w:numId w:val="3"/>
        </w:numPr>
        <w:tabs>
          <w:tab w:val="left" w:pos="384"/>
        </w:tabs>
        <w:spacing w:before="92" w:line="218" w:lineRule="exact"/>
      </w:pPr>
      <w:r w:rsidRPr="002D3097">
        <w:rPr>
          <w:sz w:val="18"/>
        </w:rPr>
        <w:t xml:space="preserve">Kitikuson, P., </w:t>
      </w:r>
      <w:proofErr w:type="spellStart"/>
      <w:r w:rsidRPr="002D3097">
        <w:rPr>
          <w:sz w:val="18"/>
        </w:rPr>
        <w:t>Srisuwan</w:t>
      </w:r>
      <w:proofErr w:type="spellEnd"/>
      <w:r w:rsidRPr="002D3097">
        <w:rPr>
          <w:sz w:val="18"/>
        </w:rPr>
        <w:t>, T. and Dent, D. C. (2015) ‘Attachment Ability of Human Apical Papilla Cells to Root Dentin Surfaces Treated with Either 3Mix or Calcium Hydroxide’, Journal of Endodontics. Elsevier Ltd, pp. 1–6. doi: 10.1016/j.joen.2015.08.021.</w:t>
      </w:r>
    </w:p>
    <w:p w14:paraId="58740D78" w14:textId="42E3DD6D" w:rsidR="002D3097" w:rsidRPr="002D3097" w:rsidRDefault="002D3097" w:rsidP="002D3097">
      <w:pPr>
        <w:pStyle w:val="ListParagraph"/>
        <w:numPr>
          <w:ilvl w:val="0"/>
          <w:numId w:val="3"/>
        </w:numPr>
        <w:tabs>
          <w:tab w:val="left" w:pos="384"/>
        </w:tabs>
        <w:spacing w:before="92" w:line="218" w:lineRule="exact"/>
      </w:pPr>
      <w:r w:rsidRPr="002D3097">
        <w:rPr>
          <w:sz w:val="18"/>
        </w:rPr>
        <w:t>Park, M. and Pang, S. (2015) ‘Effect of dentin treatment on proliferation and differentiation of human dental pulp stem cells’, Restorative Dentistry &amp; Endodontics, 7658, pp. 1–9.</w:t>
      </w:r>
    </w:p>
    <w:p w14:paraId="5F076410" w14:textId="2359C0C8" w:rsidR="002D3097" w:rsidRPr="002D3097" w:rsidRDefault="002D3097" w:rsidP="002D3097">
      <w:pPr>
        <w:pStyle w:val="ListParagraph"/>
        <w:numPr>
          <w:ilvl w:val="0"/>
          <w:numId w:val="3"/>
        </w:numPr>
        <w:tabs>
          <w:tab w:val="left" w:pos="384"/>
        </w:tabs>
        <w:spacing w:before="92" w:line="218" w:lineRule="exact"/>
        <w:rPr>
          <w:sz w:val="18"/>
          <w:szCs w:val="18"/>
        </w:rPr>
      </w:pPr>
      <w:r w:rsidRPr="002D3097">
        <w:rPr>
          <w:sz w:val="18"/>
          <w:szCs w:val="18"/>
        </w:rPr>
        <w:t>Kim, K. W., Yassen, G. H., Ehrlich, Y., Spolnik, K., Platt, J. A. and Windsor, L. J. (2015) ‘The effects of radicular dentine treated with double antibiotic paste and ethylenediaminetetraacetic acid on the attachment and proliferation of dental pulp stem cells’, Dental Traumatology, 31(5), pp. 374–379. doi: 10.1111/edt.12181.</w:t>
      </w:r>
    </w:p>
    <w:p w14:paraId="3B93AE65" w14:textId="3DDCBB9D" w:rsidR="00AE3E37" w:rsidRPr="004973C9" w:rsidRDefault="004973C9" w:rsidP="004973C9">
      <w:pPr>
        <w:pStyle w:val="ListParagraph"/>
        <w:numPr>
          <w:ilvl w:val="0"/>
          <w:numId w:val="3"/>
        </w:numPr>
        <w:tabs>
          <w:tab w:val="left" w:pos="384"/>
        </w:tabs>
        <w:spacing w:before="92" w:line="218" w:lineRule="exact"/>
        <w:rPr>
          <w:sz w:val="18"/>
          <w:szCs w:val="18"/>
        </w:rPr>
        <w:sectPr w:rsidR="00AE3E37" w:rsidRPr="004973C9">
          <w:type w:val="continuous"/>
          <w:pgSz w:w="11910" w:h="16840"/>
          <w:pgMar w:top="1740" w:right="600" w:bottom="840" w:left="620" w:header="720" w:footer="720" w:gutter="0"/>
          <w:cols w:num="2" w:space="720" w:equalWidth="0">
            <w:col w:w="5214" w:space="138"/>
            <w:col w:w="5338"/>
          </w:cols>
        </w:sectPr>
      </w:pPr>
      <w:r w:rsidRPr="004973C9">
        <w:rPr>
          <w:sz w:val="18"/>
          <w:szCs w:val="18"/>
        </w:rPr>
        <w:t xml:space="preserve">Saoud, T. M. A., Mistry, S., </w:t>
      </w:r>
      <w:proofErr w:type="spellStart"/>
      <w:r w:rsidRPr="004973C9">
        <w:rPr>
          <w:sz w:val="18"/>
          <w:szCs w:val="18"/>
        </w:rPr>
        <w:t>Kahler</w:t>
      </w:r>
      <w:proofErr w:type="spellEnd"/>
      <w:r w:rsidRPr="004973C9">
        <w:rPr>
          <w:sz w:val="18"/>
          <w:szCs w:val="18"/>
        </w:rPr>
        <w:t xml:space="preserve">, B., Sigurdsson, A. and Lin, L. M. (2016) ‘Regenerative Endodontic Procedures for Traumatized Teeth after Horizontal’, </w:t>
      </w:r>
      <w:r w:rsidRPr="004973C9">
        <w:rPr>
          <w:i/>
          <w:iCs/>
          <w:sz w:val="18"/>
          <w:szCs w:val="18"/>
        </w:rPr>
        <w:t>Journal of Endodontics</w:t>
      </w:r>
      <w:r w:rsidRPr="004973C9">
        <w:rPr>
          <w:sz w:val="18"/>
          <w:szCs w:val="18"/>
        </w:rPr>
        <w:t>. Elsevier Ltd, 42(10), pp. 1476–1482. doi: 10.1016/j.joen.2016.04.028.</w:t>
      </w:r>
      <w:bookmarkStart w:id="0" w:name="_GoBack"/>
      <w:bookmarkEnd w:id="0"/>
    </w:p>
    <w:p w14:paraId="2B962D5D" w14:textId="77777777" w:rsidR="00AE3E37" w:rsidRDefault="00AE3E37">
      <w:pPr>
        <w:pStyle w:val="BodyText"/>
        <w:rPr>
          <w:rFonts w:ascii="Calibri"/>
          <w:sz w:val="20"/>
        </w:rPr>
      </w:pPr>
    </w:p>
    <w:p w14:paraId="3B570601" w14:textId="32357A6F"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5325FBF" wp14:editId="5890203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2CB01E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8A6B13E" w14:textId="3DEA64DA" w:rsidR="004973C9" w:rsidRDefault="004973C9">
      <w:pPr>
        <w:pStyle w:val="BodyText"/>
        <w:spacing w:line="40" w:lineRule="exact"/>
        <w:ind w:left="2202"/>
        <w:rPr>
          <w:rFonts w:ascii="Calibri"/>
          <w:sz w:val="4"/>
        </w:rPr>
      </w:pPr>
    </w:p>
    <w:p w14:paraId="642BC40D" w14:textId="7E0D2426" w:rsidR="004973C9" w:rsidRDefault="004973C9">
      <w:pPr>
        <w:pStyle w:val="BodyText"/>
        <w:spacing w:line="40" w:lineRule="exact"/>
        <w:ind w:left="2202"/>
        <w:rPr>
          <w:rFonts w:ascii="Calibri"/>
          <w:sz w:val="4"/>
        </w:rPr>
      </w:pPr>
    </w:p>
    <w:p w14:paraId="5930C88E" w14:textId="3F8AC814" w:rsidR="004973C9" w:rsidRDefault="004973C9">
      <w:pPr>
        <w:pStyle w:val="BodyText"/>
        <w:spacing w:line="40" w:lineRule="exact"/>
        <w:ind w:left="2202"/>
        <w:rPr>
          <w:rFonts w:ascii="Calibri"/>
          <w:sz w:val="4"/>
        </w:rPr>
      </w:pPr>
    </w:p>
    <w:p w14:paraId="4A2A6E99" w14:textId="58E1BA6C" w:rsidR="004973C9" w:rsidRDefault="004973C9">
      <w:pPr>
        <w:pStyle w:val="BodyText"/>
        <w:spacing w:line="40" w:lineRule="exact"/>
        <w:ind w:left="2202"/>
        <w:rPr>
          <w:rFonts w:ascii="Calibri"/>
          <w:sz w:val="4"/>
        </w:rPr>
      </w:pPr>
    </w:p>
    <w:p w14:paraId="66B9AF14" w14:textId="7C7E770A" w:rsidR="004973C9" w:rsidRDefault="004973C9">
      <w:pPr>
        <w:pStyle w:val="BodyText"/>
        <w:spacing w:line="40" w:lineRule="exact"/>
        <w:ind w:left="2202"/>
        <w:rPr>
          <w:rFonts w:ascii="Calibri"/>
          <w:sz w:val="4"/>
        </w:rPr>
      </w:pPr>
    </w:p>
    <w:p w14:paraId="1AA9C69A" w14:textId="7E34C11B" w:rsidR="004973C9" w:rsidRDefault="004973C9">
      <w:pPr>
        <w:pStyle w:val="BodyText"/>
        <w:spacing w:line="40" w:lineRule="exact"/>
        <w:ind w:left="2202"/>
        <w:rPr>
          <w:rFonts w:ascii="Calibri"/>
          <w:sz w:val="4"/>
        </w:rPr>
      </w:pPr>
    </w:p>
    <w:p w14:paraId="48E12DBB" w14:textId="01A441C5" w:rsidR="004973C9" w:rsidRDefault="004973C9">
      <w:pPr>
        <w:pStyle w:val="BodyText"/>
        <w:spacing w:line="40" w:lineRule="exact"/>
        <w:ind w:left="2202"/>
        <w:rPr>
          <w:rFonts w:ascii="Calibri"/>
          <w:sz w:val="4"/>
        </w:rPr>
      </w:pPr>
    </w:p>
    <w:p w14:paraId="157BC616" w14:textId="486AF137" w:rsidR="004973C9" w:rsidRDefault="004973C9">
      <w:pPr>
        <w:pStyle w:val="BodyText"/>
        <w:spacing w:line="40" w:lineRule="exact"/>
        <w:ind w:left="2202"/>
        <w:rPr>
          <w:rFonts w:ascii="Calibri"/>
          <w:sz w:val="4"/>
        </w:rPr>
      </w:pPr>
    </w:p>
    <w:p w14:paraId="49B4AB4D" w14:textId="331C82BD" w:rsidR="004973C9" w:rsidRDefault="004973C9">
      <w:pPr>
        <w:pStyle w:val="BodyText"/>
        <w:spacing w:line="40" w:lineRule="exact"/>
        <w:ind w:left="2202"/>
        <w:rPr>
          <w:rFonts w:ascii="Calibri"/>
          <w:sz w:val="4"/>
        </w:rPr>
      </w:pPr>
    </w:p>
    <w:p w14:paraId="67D0575D" w14:textId="3EB4684C" w:rsidR="004973C9" w:rsidRDefault="004973C9">
      <w:pPr>
        <w:pStyle w:val="BodyText"/>
        <w:spacing w:line="40" w:lineRule="exact"/>
        <w:ind w:left="2202"/>
        <w:rPr>
          <w:rFonts w:ascii="Calibri"/>
          <w:sz w:val="4"/>
        </w:rPr>
      </w:pPr>
    </w:p>
    <w:p w14:paraId="2A11F976" w14:textId="0E9BF325" w:rsidR="004973C9" w:rsidRDefault="004973C9">
      <w:pPr>
        <w:pStyle w:val="BodyText"/>
        <w:spacing w:line="40" w:lineRule="exact"/>
        <w:ind w:left="2202"/>
        <w:rPr>
          <w:rFonts w:ascii="Calibri"/>
          <w:sz w:val="4"/>
        </w:rPr>
      </w:pPr>
    </w:p>
    <w:p w14:paraId="0FCB8CAA" w14:textId="0EE00E68" w:rsidR="004973C9" w:rsidRDefault="004973C9">
      <w:pPr>
        <w:pStyle w:val="BodyText"/>
        <w:spacing w:line="40" w:lineRule="exact"/>
        <w:ind w:left="2202"/>
        <w:rPr>
          <w:rFonts w:ascii="Calibri"/>
          <w:sz w:val="4"/>
        </w:rPr>
      </w:pPr>
    </w:p>
    <w:p w14:paraId="44956B8C" w14:textId="334BA371" w:rsidR="004973C9" w:rsidRDefault="004973C9">
      <w:pPr>
        <w:pStyle w:val="BodyText"/>
        <w:spacing w:line="40" w:lineRule="exact"/>
        <w:ind w:left="2202"/>
        <w:rPr>
          <w:rFonts w:ascii="Calibri"/>
          <w:sz w:val="4"/>
        </w:rPr>
      </w:pPr>
    </w:p>
    <w:p w14:paraId="77C9E7C3" w14:textId="17CD0925" w:rsidR="004973C9" w:rsidRDefault="004973C9">
      <w:pPr>
        <w:pStyle w:val="BodyText"/>
        <w:spacing w:line="40" w:lineRule="exact"/>
        <w:ind w:left="2202"/>
        <w:rPr>
          <w:rFonts w:ascii="Calibri"/>
          <w:sz w:val="4"/>
        </w:rPr>
      </w:pPr>
    </w:p>
    <w:p w14:paraId="2FE49A19" w14:textId="6FF879C3" w:rsidR="004973C9" w:rsidRDefault="004973C9">
      <w:pPr>
        <w:pStyle w:val="BodyText"/>
        <w:spacing w:line="40" w:lineRule="exact"/>
        <w:ind w:left="2202"/>
        <w:rPr>
          <w:rFonts w:ascii="Calibri"/>
          <w:sz w:val="4"/>
        </w:rPr>
      </w:pPr>
    </w:p>
    <w:p w14:paraId="2A640F06" w14:textId="77777777" w:rsidR="004973C9" w:rsidRDefault="004973C9">
      <w:pPr>
        <w:pStyle w:val="BodyText"/>
        <w:spacing w:line="40" w:lineRule="exact"/>
        <w:ind w:left="2202"/>
        <w:rPr>
          <w:rFonts w:ascii="Calibri"/>
          <w:sz w:val="4"/>
        </w:rPr>
      </w:pPr>
    </w:p>
    <w:p w14:paraId="148E1734" w14:textId="18FF4543" w:rsidR="00AE3E37" w:rsidRDefault="004750F0" w:rsidP="00404E5B">
      <w:pPr>
        <w:spacing w:before="92"/>
        <w:ind w:right="4234"/>
        <w:rPr>
          <w:rFonts w:ascii="Arial"/>
        </w:rPr>
      </w:pPr>
      <w:r>
        <w:rPr>
          <w:noProof/>
        </w:rPr>
        <w:lastRenderedPageBreak/>
        <w:t xml:space="preserve">      </w:t>
      </w:r>
      <w:r w:rsidR="008756E6">
        <w:rPr>
          <w:noProof/>
        </w:rPr>
        <w:t xml:space="preserve">       </w:t>
      </w:r>
      <w:r>
        <w:rPr>
          <w:rFonts w:ascii="Arial"/>
          <w:noProof/>
          <w:color w:val="BF5A14"/>
        </w:rPr>
        <w:drawing>
          <wp:inline distT="0" distB="0" distL="0" distR="0" wp14:anchorId="3789793A" wp14:editId="095E7747">
            <wp:extent cx="366841" cy="381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SC_0096.JPG"/>
                    <pic:cNvPicPr/>
                  </pic:nvPicPr>
                  <pic:blipFill rotWithShape="1">
                    <a:blip r:embed="rId13" cstate="print">
                      <a:extLst>
                        <a:ext uri="{28A0092B-C50C-407E-A947-70E740481C1C}">
                          <a14:useLocalDpi xmlns:a14="http://schemas.microsoft.com/office/drawing/2010/main" val="0"/>
                        </a:ext>
                      </a:extLst>
                    </a:blip>
                    <a:srcRect l="9624" t="17777" r="442" b="19950"/>
                    <a:stretch/>
                  </pic:blipFill>
                  <pic:spPr bwMode="auto">
                    <a:xfrm>
                      <a:off x="0" y="0"/>
                      <a:ext cx="373830" cy="388259"/>
                    </a:xfrm>
                    <a:prstGeom prst="rect">
                      <a:avLst/>
                    </a:prstGeom>
                    <a:ln>
                      <a:noFill/>
                    </a:ln>
                    <a:extLst>
                      <a:ext uri="{53640926-AAD7-44D8-BBD7-CCE9431645EC}">
                        <a14:shadowObscured xmlns:a14="http://schemas.microsoft.com/office/drawing/2010/main"/>
                      </a:ext>
                    </a:extLst>
                  </pic:spPr>
                </pic:pic>
              </a:graphicData>
            </a:graphic>
          </wp:inline>
        </w:drawing>
      </w:r>
      <w:r w:rsidR="0024179D">
        <w:rPr>
          <w:rFonts w:ascii="Arial"/>
          <w:color w:val="BF5A14"/>
        </w:rPr>
        <w:t xml:space="preserve">  B</w:t>
      </w:r>
      <w:r w:rsidR="00A9710C">
        <w:rPr>
          <w:rFonts w:ascii="Arial"/>
          <w:color w:val="BF5A14"/>
        </w:rPr>
        <w:t>iography</w:t>
      </w:r>
      <w:r w:rsidR="00404E5B">
        <w:rPr>
          <w:rFonts w:ascii="Arial"/>
          <w:color w:val="BF5A14"/>
        </w:rPr>
        <w:t xml:space="preserve"> </w:t>
      </w:r>
    </w:p>
    <w:p w14:paraId="7EEBD649" w14:textId="654B5CD6" w:rsidR="0024179D" w:rsidRDefault="004750F0" w:rsidP="0024179D">
      <w:pPr>
        <w:spacing w:before="41" w:line="154" w:lineRule="exact"/>
        <w:ind w:left="213" w:right="231"/>
        <w:jc w:val="both"/>
        <w:rPr>
          <w:rFonts w:ascii="Arial"/>
          <w:sz w:val="14"/>
        </w:rPr>
      </w:pPr>
      <w:r>
        <w:rPr>
          <w:rFonts w:ascii="Arial"/>
          <w:sz w:val="14"/>
        </w:rPr>
        <w:t>Samiya Riaz</w:t>
      </w:r>
      <w:r w:rsidR="00A9710C">
        <w:rPr>
          <w:rFonts w:ascii="Arial"/>
          <w:sz w:val="14"/>
        </w:rPr>
        <w:t xml:space="preserve"> </w:t>
      </w:r>
      <w:r w:rsidR="0024179D">
        <w:rPr>
          <w:rFonts w:ascii="Arial"/>
          <w:sz w:val="14"/>
        </w:rPr>
        <w:t xml:space="preserve">is a Masters student in Universiti Sains Malaysia, Department of Pediatric Dentistry. She graduated from de </w:t>
      </w:r>
      <w:r w:rsidR="0024179D">
        <w:rPr>
          <w:rFonts w:ascii="Arial"/>
          <w:sz w:val="14"/>
        </w:rPr>
        <w:t>’</w:t>
      </w:r>
      <w:r w:rsidR="0024179D">
        <w:rPr>
          <w:rFonts w:ascii="Arial"/>
          <w:sz w:val="14"/>
        </w:rPr>
        <w:t>Montmorency college of Dentistry Pakistan in 2003. She is currently under the supervision of Dr. Aung Thu Htun and Dr. Ahmad Azlina. She has worked as a general dentist for more than 10 years and now wants to pursue her career in Academic side. Currently she is working on effects of different intracanal medicaments and their effects on stem cells in regenerative endodontics. She is also supervising the final year dental students in clinics after receiving USM Fellowship.</w:t>
      </w:r>
    </w:p>
    <w:p w14:paraId="2FEE3B45" w14:textId="09DCAD1D" w:rsidR="00AE3E37" w:rsidRPr="0024179D" w:rsidRDefault="0024179D" w:rsidP="0024179D">
      <w:pPr>
        <w:spacing w:before="41" w:line="154" w:lineRule="exact"/>
        <w:ind w:left="213" w:right="231"/>
        <w:jc w:val="both"/>
        <w:rPr>
          <w:rStyle w:val="Hyperlink"/>
          <w:rFonts w:ascii="Arial"/>
          <w:color w:val="auto"/>
          <w:sz w:val="14"/>
          <w:u w:val="none"/>
        </w:rPr>
      </w:pPr>
      <w:r>
        <w:rPr>
          <w:rFonts w:ascii="Arial"/>
          <w:sz w:val="14"/>
        </w:rPr>
        <w:t xml:space="preserve">                                            </w:t>
      </w:r>
      <w:r w:rsidR="00027AB5">
        <w:rPr>
          <w:rFonts w:ascii="Arial"/>
          <w:sz w:val="14"/>
        </w:rPr>
        <w:t xml:space="preserve">   </w:t>
      </w:r>
      <w:r w:rsidR="00A9710C">
        <w:rPr>
          <w:rFonts w:ascii="Arial"/>
          <w:sz w:val="14"/>
        </w:rPr>
        <w:t xml:space="preserve">Email: </w:t>
      </w:r>
      <w:r>
        <w:rPr>
          <w:rFonts w:ascii="Arial"/>
          <w:sz w:val="14"/>
        </w:rPr>
        <w:t>dr</w:t>
      </w:r>
      <w:r w:rsidR="00C0506A">
        <w:rPr>
          <w:rFonts w:ascii="Arial"/>
          <w:sz w:val="14"/>
        </w:rPr>
        <w:t>_samiya80@yahoo.com</w:t>
      </w:r>
    </w:p>
    <w:p w14:paraId="0ADADE41" w14:textId="36114771" w:rsidR="00AE3E37" w:rsidRPr="0024179D" w:rsidRDefault="00027AB5" w:rsidP="0024179D">
      <w:pPr>
        <w:spacing w:before="62"/>
        <w:ind w:right="4235"/>
        <w:rPr>
          <w:rFonts w:ascii="Arial"/>
          <w:sz w:val="14"/>
        </w:rPr>
        <w:sectPr w:rsidR="00AE3E37" w:rsidRPr="0024179D">
          <w:type w:val="continuous"/>
          <w:pgSz w:w="11910" w:h="16840"/>
          <w:pgMar w:top="1740" w:right="600" w:bottom="840" w:left="620" w:header="720" w:footer="720" w:gutter="0"/>
          <w:cols w:space="720"/>
        </w:sectPr>
      </w:pPr>
      <w:r>
        <w:rPr>
          <w:rFonts w:ascii="Arial"/>
          <w:sz w:val="14"/>
        </w:rPr>
        <w:t xml:space="preserve">                               </w:t>
      </w:r>
      <w:r w:rsidR="0024179D">
        <w:rPr>
          <w:rFonts w:ascii="Arial"/>
          <w:sz w:val="14"/>
        </w:rPr>
        <w:t xml:space="preserve">                       </w:t>
      </w:r>
      <w:r w:rsidRPr="00027AB5">
        <w:rPr>
          <w:rFonts w:ascii="Arial"/>
          <w:sz w:val="14"/>
        </w:rPr>
        <w:t>Contact number:</w:t>
      </w:r>
      <w:r w:rsidR="0024179D">
        <w:rPr>
          <w:rFonts w:ascii="Arial"/>
          <w:sz w:val="14"/>
        </w:rPr>
        <w:t xml:space="preserve"> +60-11-3310846</w:t>
      </w:r>
      <w:r w:rsidR="00292ED9">
        <w:rPr>
          <w:noProof/>
        </w:rPr>
        <mc:AlternateContent>
          <mc:Choice Requires="wps">
            <w:drawing>
              <wp:anchor distT="0" distB="0" distL="0" distR="0" simplePos="0" relativeHeight="1072" behindDoc="0" locked="0" layoutInCell="1" allowOverlap="1" wp14:anchorId="58EEDA0F" wp14:editId="5E30612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DA40E6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24179D">
        <w:rPr>
          <w:rFonts w:ascii="Arial"/>
          <w:sz w:val="14"/>
        </w:rPr>
        <w:t>0</w:t>
      </w:r>
    </w:p>
    <w:p w14:paraId="098D1465" w14:textId="77777777" w:rsidR="00AE3E37" w:rsidRDefault="00AE3E37" w:rsidP="0024179D">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008924" w14:textId="77777777" w:rsidR="00852D24" w:rsidRDefault="00852D24">
      <w:r>
        <w:separator/>
      </w:r>
    </w:p>
  </w:endnote>
  <w:endnote w:type="continuationSeparator" w:id="0">
    <w:p w14:paraId="12DD53D5" w14:textId="77777777" w:rsidR="00852D24" w:rsidRDefault="00852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2DC62"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2916D53" wp14:editId="201BAC3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22EB7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AFDF1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916D53"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2122EB7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AFDF1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0AABA7C" wp14:editId="10C1053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6B899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8922D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AABA7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486B899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8922D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7F28EA2" wp14:editId="0F56D3C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74555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6FA672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F28EA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7174555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6FA672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AE34C4" w14:textId="77777777" w:rsidR="00852D24" w:rsidRDefault="00852D24">
      <w:r>
        <w:separator/>
      </w:r>
    </w:p>
  </w:footnote>
  <w:footnote w:type="continuationSeparator" w:id="0">
    <w:p w14:paraId="59080710" w14:textId="77777777" w:rsidR="00852D24" w:rsidRDefault="00852D2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5F5DD"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62EF30B" wp14:editId="422EB4E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06C3C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2EF30B"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1106C3C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4DFD053" wp14:editId="6947CD0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25A3B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C07175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DFD05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4125A3B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C07175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7AB5"/>
    <w:rsid w:val="000E2911"/>
    <w:rsid w:val="001263DF"/>
    <w:rsid w:val="002169A0"/>
    <w:rsid w:val="0024179D"/>
    <w:rsid w:val="00275BE6"/>
    <w:rsid w:val="002864DF"/>
    <w:rsid w:val="00292ED9"/>
    <w:rsid w:val="002D3097"/>
    <w:rsid w:val="00404E5B"/>
    <w:rsid w:val="00414F7B"/>
    <w:rsid w:val="004355DC"/>
    <w:rsid w:val="00457970"/>
    <w:rsid w:val="004749B4"/>
    <w:rsid w:val="004750F0"/>
    <w:rsid w:val="00487C75"/>
    <w:rsid w:val="00494130"/>
    <w:rsid w:val="004973C9"/>
    <w:rsid w:val="004F3523"/>
    <w:rsid w:val="004F3B5F"/>
    <w:rsid w:val="004F4D05"/>
    <w:rsid w:val="00557003"/>
    <w:rsid w:val="00562D42"/>
    <w:rsid w:val="00594B47"/>
    <w:rsid w:val="005973B9"/>
    <w:rsid w:val="005B3A56"/>
    <w:rsid w:val="006060CE"/>
    <w:rsid w:val="0063497F"/>
    <w:rsid w:val="006F5F05"/>
    <w:rsid w:val="007053E2"/>
    <w:rsid w:val="007F1FFC"/>
    <w:rsid w:val="00852D24"/>
    <w:rsid w:val="00873DF0"/>
    <w:rsid w:val="008756E6"/>
    <w:rsid w:val="008E0B35"/>
    <w:rsid w:val="00905385"/>
    <w:rsid w:val="009B2D44"/>
    <w:rsid w:val="00A07E82"/>
    <w:rsid w:val="00A9710C"/>
    <w:rsid w:val="00AE3E37"/>
    <w:rsid w:val="00B21A57"/>
    <w:rsid w:val="00C0506A"/>
    <w:rsid w:val="00C33602"/>
    <w:rsid w:val="00C81181"/>
    <w:rsid w:val="00CD6F55"/>
    <w:rsid w:val="00DB3EA3"/>
    <w:rsid w:val="00DE3104"/>
    <w:rsid w:val="00E25C2A"/>
    <w:rsid w:val="00E43ED1"/>
    <w:rsid w:val="00EE4E0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B9C7C8"/>
  <w15:docId w15:val="{87DDF757-B2EE-41FE-9755-CF4ECD125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4F4D05"/>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697</Words>
  <Characters>3975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samiya riaz</cp:lastModifiedBy>
  <cp:revision>5</cp:revision>
  <dcterms:created xsi:type="dcterms:W3CDTF">2018-08-21T07:48:00Z</dcterms:created>
  <dcterms:modified xsi:type="dcterms:W3CDTF">2018-08-21T08:14:00Z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