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body>
    <w:p>
      <w:pPr>
        <w:pStyle w:val="Para0"/>
        <w:spacing w:line="276" w:lineRule="auto" w:after="200"/>
        <w:ind w:left="0" w:hanging="0"/>
        <w:rPr>
          <w:sz w:val="20"/>
          <w:szCs w:val="20"/>
          <w:rFonts w:ascii="Cambria Math" w:eastAsia="Cambria Math" w:hAnsi="Cambria Math" w:hint="default"/>
        </w:rPr>
      </w:pPr>
      <w:r>
        <w:rPr>
          <w:rStyle w:val="Character1"/>
          <w:b/>
          <w:sz w:val="24"/>
          <w:szCs w:val="24"/>
        </w:rPr>
        <w:t xml:space="preserve">Ocular Status, Health seeking behaviors and Barriers</w:t>
      </w:r>
      <w:r>
        <w:rPr>
          <w:rStyle w:val="Character2"/>
          <w:b/>
          <w:sz w:val="24"/>
          <w:szCs w:val="24"/>
        </w:rPr>
        <w:t xml:space="preserve"> to Uptake Eye Care Services</w:t>
      </w:r>
      <w:r>
        <w:rPr>
          <w:rStyle w:val="Character1"/>
          <w:b/>
          <w:sz w:val="24"/>
          <w:szCs w:val="24"/>
        </w:rPr>
        <w:t xml:space="preserve"> </w:t>
      </w:r>
      <w:r>
        <w:rPr>
          <w:rStyle w:val="Character1"/>
          <w:b/>
          <w:sz w:val="24"/>
          <w:szCs w:val="24"/>
        </w:rPr>
        <w:t xml:space="preserve">among children of slum community in Chittagong, Bangladesh</w:t>
      </w:r>
    </w:p>
    <w:p>
      <w:pPr>
        <w:pStyle w:val="Para1"/>
        <w:spacing w:line="276" w:lineRule="auto" w:after="200"/>
        <w:ind w:left="0" w:hanging="0"/>
        <w:rPr>
          <w:sz w:val="20"/>
          <w:szCs w:val="20"/>
          <w:rFonts w:ascii="Cambria Math" w:eastAsia="Cambria Math" w:hAnsi="Cambria Math" w:hint="default"/>
        </w:rPr>
      </w:pPr>
      <w:r>
        <w:rPr>
          <w:rStyle w:val="Character3"/>
          <w:sz w:val="24"/>
          <w:szCs w:val="24"/>
        </w:rPr>
        <w:t xml:space="preserve">                                                                             Abstract</w:t>
      </w:r>
    </w:p>
    <w:p>
      <w:pPr>
        <w:pStyle w:val="Para1"/>
        <w:spacing w:line="276" w:lineRule="auto" w:after="200"/>
        <w:ind w:left="0" w:hanging="0"/>
        <w:rPr>
          <w:sz w:val="20"/>
          <w:szCs w:val="20"/>
          <w:rFonts w:ascii="Cambria Math" w:eastAsia="Cambria Math" w:hAnsi="Cambria Math" w:hint="default"/>
        </w:rPr>
      </w:pPr>
      <w:r>
        <w:rPr>
          <w:rStyle w:val="Character3"/>
          <w:sz w:val="24"/>
          <w:szCs w:val="24"/>
        </w:rPr>
        <w:t xml:space="preserve">The purpose of this study was to find out the ocular status, health seeking behaviors and </w:t>
      </w:r>
      <w:r>
        <w:rPr>
          <w:rStyle w:val="Character3"/>
          <w:sz w:val="24"/>
          <w:szCs w:val="24"/>
        </w:rPr>
        <w:t>barriers</w:t>
      </w:r>
      <w:r>
        <w:rPr>
          <w:rStyle w:val="Character4"/>
          <w:sz w:val="24"/>
          <w:szCs w:val="24"/>
        </w:rPr>
        <w:t xml:space="preserve"> to uptake eye care services</w:t>
      </w:r>
      <w:r>
        <w:rPr>
          <w:rStyle w:val="Character3"/>
          <w:sz w:val="24"/>
          <w:szCs w:val="24"/>
        </w:rPr>
        <w:t xml:space="preserve"> among children of slum community in Chittagong, </w:t>
      </w:r>
      <w:r>
        <w:rPr>
          <w:rStyle w:val="Character3"/>
          <w:sz w:val="24"/>
          <w:szCs w:val="24"/>
        </w:rPr>
        <w:t>Bangladesh.</w:t>
      </w:r>
    </w:p>
    <w:p>
      <w:pPr>
        <w:pStyle w:val="Para1"/>
        <w:spacing w:line="276" w:lineRule="auto" w:after="200"/>
        <w:ind w:left="0" w:hanging="0"/>
        <w:rPr>
          <w:sz w:val="20"/>
          <w:szCs w:val="20"/>
          <w:rFonts w:ascii="Cambria Math" w:eastAsia="Cambria Math" w:hAnsi="Cambria Math" w:hint="default"/>
        </w:rPr>
      </w:pPr>
      <w:r>
        <w:rPr>
          <w:rStyle w:val="Character3"/>
          <w:sz w:val="24"/>
          <w:szCs w:val="24"/>
        </w:rPr>
        <w:t xml:space="preserve">The study was conducted in several urban slums in Chittagong city, which is home of slum </w:t>
      </w:r>
      <w:r>
        <w:rPr>
          <w:rStyle w:val="Character3"/>
          <w:sz w:val="24"/>
          <w:szCs w:val="24"/>
        </w:rPr>
        <w:t>children</w:t>
      </w:r>
    </w:p>
    <w:p>
      <w:pPr>
        <w:pStyle w:val="Para1"/>
        <w:spacing w:line="276" w:lineRule="auto" w:after="200"/>
        <w:ind w:left="0" w:hanging="0"/>
        <w:rPr>
          <w:sz w:val="20"/>
          <w:szCs w:val="20"/>
          <w:rFonts w:ascii="Cambria Math" w:eastAsia="Cambria Math" w:hAnsi="Cambria Math" w:hint="default"/>
        </w:rPr>
      </w:pPr>
      <w:r>
        <w:rPr>
          <w:rStyle w:val="Character3"/>
          <w:sz w:val="24"/>
          <w:szCs w:val="24"/>
        </w:rPr>
        <w:t xml:space="preserve">A total of 410 children were clinically examined. Their accompanying guardians were also </w:t>
      </w:r>
      <w:r>
        <w:rPr>
          <w:rStyle w:val="Character3"/>
          <w:sz w:val="24"/>
          <w:szCs w:val="24"/>
        </w:rPr>
        <w:t xml:space="preserve">interviewed for collecting health seeking behaviors and identifying the barriers, if any, to </w:t>
      </w:r>
      <w:r>
        <w:rPr>
          <w:rStyle w:val="Character3"/>
          <w:sz w:val="24"/>
          <w:szCs w:val="24"/>
        </w:rPr>
        <w:t xml:space="preserve">uptake eye care services. Three focus group discussions were held with guardians.</w:t>
      </w:r>
    </w:p>
    <w:p>
      <w:pPr>
        <w:pStyle w:val="Para1"/>
        <w:spacing w:line="276" w:lineRule="auto" w:after="200"/>
        <w:ind w:left="0" w:hanging="0"/>
        <w:rPr>
          <w:sz w:val="20"/>
          <w:szCs w:val="20"/>
          <w:rFonts w:ascii="Cambria Math" w:eastAsia="Cambria Math" w:hAnsi="Cambria Math" w:hint="default"/>
        </w:rPr>
      </w:pPr>
      <w:r>
        <w:rPr>
          <w:rStyle w:val="Character3"/>
          <w:sz w:val="24"/>
          <w:szCs w:val="24"/>
        </w:rPr>
        <w:t xml:space="preserve">Nearly 47.3% of the sampled children were male and 52.7% female .About 40% of children </w:t>
      </w:r>
      <w:r>
        <w:rPr>
          <w:rStyle w:val="Character3"/>
          <w:sz w:val="24"/>
          <w:szCs w:val="24"/>
        </w:rPr>
        <w:t xml:space="preserve">had different ocular complaints, where we found 36.6% having some ocular abnormalities. </w:t>
      </w:r>
      <w:r>
        <w:rPr>
          <w:rStyle w:val="Character3"/>
          <w:sz w:val="24"/>
          <w:szCs w:val="24"/>
        </w:rPr>
        <w:t xml:space="preserve">Most of them (73%) had never seen an eye care specialist. About 89.6% of the respondents </w:t>
      </w:r>
      <w:r>
        <w:rPr>
          <w:rStyle w:val="Character3"/>
          <w:sz w:val="24"/>
          <w:szCs w:val="24"/>
        </w:rPr>
        <w:t xml:space="preserve">have normal visual acuity 6/6.The common ocular problems encountered were Refractive </w:t>
      </w:r>
      <w:r>
        <w:rPr>
          <w:rStyle w:val="Character3"/>
          <w:sz w:val="24"/>
          <w:szCs w:val="24"/>
        </w:rPr>
        <w:t xml:space="preserve">Error (26.7%), Allergic Conjunctivitis (21.3%), Blepharitis (16.0%), Squint (7.3%), </w:t>
      </w:r>
      <w:r>
        <w:rPr>
          <w:rStyle w:val="Character3"/>
          <w:sz w:val="24"/>
          <w:szCs w:val="24"/>
        </w:rPr>
        <w:t xml:space="preserve">Convergence Insufficiency (4.0%), Mebomian Gland Dysfunction (8.7%), Dacrocystitis </w:t>
      </w:r>
      <w:r>
        <w:rPr>
          <w:rStyle w:val="Character3"/>
          <w:sz w:val="24"/>
          <w:szCs w:val="24"/>
        </w:rPr>
        <w:t xml:space="preserve">(3.3%), Congenital Cataract (2.7%) , Conjunctivitis (4.0%) ,Xerophthalmia(1.3%), </w:t>
      </w:r>
      <w:r>
        <w:rPr>
          <w:rStyle w:val="Character3"/>
          <w:sz w:val="24"/>
          <w:szCs w:val="24"/>
        </w:rPr>
        <w:t xml:space="preserve">microphthalmos (1.3%), Ocular FB (1.3%). Infrequently Entropin, Corneal Opacities, </w:t>
      </w:r>
      <w:r>
        <w:rPr>
          <w:rStyle w:val="Character3"/>
          <w:sz w:val="24"/>
          <w:szCs w:val="24"/>
        </w:rPr>
        <w:t xml:space="preserve">Retobulbar Neuritis, Retinal Detachment, Episceleritis, Scelritis, Chalazion, Stye were also </w:t>
      </w:r>
      <w:r>
        <w:rPr>
          <w:rStyle w:val="Character3"/>
          <w:sz w:val="24"/>
          <w:szCs w:val="24"/>
        </w:rPr>
        <w:t xml:space="preserve">present among children. About 4.9% children have night vision problem. About 16.8% of </w:t>
      </w:r>
      <w:r>
        <w:rPr>
          <w:rStyle w:val="Character3"/>
          <w:sz w:val="24"/>
          <w:szCs w:val="24"/>
        </w:rPr>
        <w:t xml:space="preserve">the children complained to have some abnormalities. It may be mentioned that, any </w:t>
      </w:r>
      <w:r>
        <w:rPr>
          <w:rStyle w:val="Character3"/>
          <w:sz w:val="24"/>
          <w:szCs w:val="24"/>
        </w:rPr>
        <w:t xml:space="preserve">complaint does not mean that the children have abnormalities because they have not been </w:t>
      </w:r>
      <w:r>
        <w:rPr>
          <w:rStyle w:val="Character3"/>
          <w:sz w:val="24"/>
          <w:szCs w:val="24"/>
        </w:rPr>
        <w:t xml:space="preserve">assessed clinically.</w:t>
      </w:r>
    </w:p>
    <w:p>
      <w:pPr>
        <w:pStyle w:val="Para1"/>
        <w:spacing w:line="276" w:lineRule="auto" w:after="200"/>
        <w:ind w:left="0" w:hanging="0"/>
        <w:rPr>
          <w:sz w:val="20"/>
          <w:szCs w:val="20"/>
          <w:rFonts w:ascii="Cambria Math" w:eastAsia="Cambria Math" w:hAnsi="Cambria Math" w:hint="default"/>
        </w:rPr>
      </w:pPr>
      <w:r>
        <w:rPr>
          <w:rStyle w:val="Character3"/>
          <w:sz w:val="24"/>
          <w:szCs w:val="24"/>
        </w:rPr>
        <w:t xml:space="preserve">Many slum dwellers strongly believe about traditional treatment but most of the guardians </w:t>
      </w:r>
      <w:r>
        <w:rPr>
          <w:rStyle w:val="Character3"/>
          <w:sz w:val="24"/>
          <w:szCs w:val="24"/>
        </w:rPr>
        <w:t xml:space="preserve">(70%) know where to go for the treatment. However, the guardians' of slum children </w:t>
      </w:r>
      <w:r>
        <w:rPr>
          <w:rStyle w:val="Character3"/>
          <w:sz w:val="24"/>
          <w:szCs w:val="24"/>
        </w:rPr>
        <w:t xml:space="preserve">cannot afford medical treatment due to their low financial condition.</w:t>
      </w:r>
    </w:p>
    <w:p>
      <w:pPr>
        <w:pStyle w:val="Para1"/>
        <w:spacing w:line="276" w:lineRule="auto" w:after="200"/>
        <w:ind w:left="0" w:hanging="0"/>
        <w:rPr>
          <w:sz w:val="20"/>
          <w:szCs w:val="20"/>
          <w:rFonts w:ascii="Cambria Math" w:eastAsia="Cambria Math" w:hAnsi="Cambria Math" w:hint="default"/>
        </w:rPr>
      </w:pPr>
      <w:r>
        <w:rPr>
          <w:rStyle w:val="Character3"/>
          <w:sz w:val="24"/>
          <w:szCs w:val="24"/>
        </w:rPr>
        <w:t xml:space="preserve">Keywords: Slum Dwellers, Behaviors, Eye Care, Refractive Error, Allergic Conjunctivitis, </w:t>
      </w:r>
      <w:r>
        <w:rPr>
          <w:rStyle w:val="Character3"/>
          <w:sz w:val="24"/>
          <w:szCs w:val="24"/>
        </w:rPr>
        <w:t xml:space="preserve">Squint, Medical Treatment, Traditional Treatment.</w:t>
      </w:r>
    </w:p>
    <w:sectPr>
      <w:pgSz w:w="12240" w:h="15840"/>
      <w:pgMar w:top="1701" w:right="1440" w:bottom="1440" w:left="1440" w:header="720" w:footer="72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Arial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mbria Math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mbria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바탕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2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customStyle="1" w:styleId="Para0">
    <w:name w:val="ParaAttribute0"/>
    <w:pPr>
      <w:spacing w:after="200"/>
      <w:jc w:val="center"/>
      <w:wordWrap w:val="false"/>
      <w:ind w:left="0" w:hanging="0"/>
      <w:rPr/>
    </w:pPr>
  </w:style>
  <w:style w:type="paragraph" w:customStyle="1" w:styleId="Para1">
    <w:name w:val="ParaAttribute1"/>
    <w:pPr>
      <w:spacing w:after="200"/>
      <w:jc w:val="both"/>
      <w:wordWrap w:val="false"/>
      <w:ind w:left="0" w:hanging="0"/>
      <w:rPr/>
    </w:pPr>
  </w:style>
  <w:style w:type="paragraph" w:customStyle="1" w:styleId="Para2">
    <w:name w:val="ParaAttribute2"/>
    <w:pPr>
      <w:jc w:val="left"/>
      <w:wordWrap w:val="false"/>
      <w:ind w:left="0" w:hanging="0"/>
      <w:widowControl w:val="false"/>
      <w:rPr/>
    </w:pPr>
  </w:style>
  <w:style w:type="character" w:customStyle="1" w:styleId="Character0">
    <w:name w:val="CharAttribute0"/>
    <w:rPr>
      <w:rFonts w:ascii="Cambria Math" w:eastAsia="Cambria Math" w:hAnsi="Cambria Math" w:hint="default"/>
    </w:rPr>
  </w:style>
  <w:style w:type="character" w:customStyle="1" w:styleId="Character1">
    <w:name w:val="CharAttribute1"/>
    <w:rPr>
      <w:rFonts w:ascii="Cambria Math" w:eastAsia="Cambria Math" w:hAnsi="Cambria Math" w:hint="default"/>
      <w:b/>
      <w:sz w:val="24"/>
    </w:rPr>
  </w:style>
  <w:style w:type="character" w:customStyle="1" w:styleId="Character2">
    <w:name w:val="CharAttribute2"/>
    <w:rPr>
      <w:rFonts w:ascii="Cambria Math" w:eastAsia="Times New Roman" w:hAnsi="Cambria Math" w:hint="default"/>
      <w:b/>
      <w:sz w:val="24"/>
    </w:rPr>
  </w:style>
  <w:style w:type="character" w:customStyle="1" w:styleId="Character3">
    <w:name w:val="CharAttribute3"/>
    <w:rPr>
      <w:rFonts w:ascii="Cambria Math" w:eastAsia="Cambria Math" w:hAnsi="Cambria Math" w:hint="default"/>
      <w:sz w:val="24"/>
    </w:rPr>
  </w:style>
  <w:style w:type="character" w:customStyle="1" w:styleId="Character4">
    <w:name w:val="CharAttribute4"/>
    <w:rPr>
      <w:rFonts w:ascii="Cambria Math" w:eastAsia="Times New Roman" w:hAnsi="Cambria Math" w:hint="default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15</Lines>
  <LinksUpToDate>false</LinksUpToDate>
  <Pages>1</Pages>
  <Paragraphs>4</Paragraphs>
  <Words>320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Hp-Npc</dc:creator>
  <cp:lastModifiedBy>Hp-Npc</cp:lastModifiedBy>
  <dcterms:modified xsi:type="dcterms:W3CDTF">2016-04-01T19:49:00Z</dcterms:modified>
</cp:coreProperties>
</file>