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6B2288" w:rsidP="00494130">
      <w:pPr>
        <w:pStyle w:val="1"/>
        <w:spacing w:before="170"/>
        <w:ind w:left="0"/>
      </w:pPr>
      <w:r>
        <w:rPr>
          <w:color w:val="337AB7"/>
        </w:rPr>
        <w:t>T</w:t>
      </w:r>
      <w:r w:rsidRPr="00660B59">
        <w:rPr>
          <w:color w:val="337AB7"/>
        </w:rPr>
        <w:t>erahertz</w:t>
      </w:r>
      <w:r w:rsidRPr="00F27E34">
        <w:rPr>
          <w:color w:val="337AB7"/>
          <w:lang w:val="en-GB"/>
        </w:rPr>
        <w:t>-based</w:t>
      </w:r>
      <w:r w:rsidRPr="00660B59">
        <w:rPr>
          <w:color w:val="337AB7"/>
        </w:rPr>
        <w:t xml:space="preserve"> reflectomet</w:t>
      </w:r>
      <w:r>
        <w:rPr>
          <w:color w:val="337AB7"/>
        </w:rPr>
        <w:t xml:space="preserve">ry: potential clinical applications </w:t>
      </w:r>
      <w:r w:rsidR="00E82176">
        <w:rPr>
          <w:color w:val="337AB7"/>
        </w:rPr>
        <w:t>in corneal hydration sensing</w:t>
      </w:r>
      <w:r>
        <w:rPr>
          <w:color w:val="337AB7"/>
        </w:rPr>
        <w:t xml:space="preserve"> and tear film stability assessment</w:t>
      </w:r>
    </w:p>
    <w:p w:rsidR="006B2288" w:rsidRPr="006B2288" w:rsidRDefault="006B2288" w:rsidP="006B2288">
      <w:pPr>
        <w:pStyle w:val="a3"/>
        <w:spacing w:before="73" w:line="198" w:lineRule="exact"/>
        <w:ind w:left="100" w:right="58"/>
        <w:rPr>
          <w:rFonts w:ascii="Arial"/>
          <w:vertAlign w:val="superscript"/>
        </w:rPr>
      </w:pPr>
      <w:r w:rsidRPr="006B2288">
        <w:rPr>
          <w:rFonts w:ascii="Arial"/>
        </w:rPr>
        <w:t xml:space="preserve">Ilya </w:t>
      </w:r>
      <w:proofErr w:type="spellStart"/>
      <w:r w:rsidRPr="006B2288">
        <w:rPr>
          <w:rFonts w:ascii="Arial"/>
        </w:rPr>
        <w:t>Ozheredov</w:t>
      </w:r>
      <w:r>
        <w:rPr>
          <w:rFonts w:ascii="Arial"/>
          <w:vertAlign w:val="superscript"/>
        </w:rPr>
        <w:t>a</w:t>
      </w:r>
      <w:proofErr w:type="spellEnd"/>
      <w:r w:rsidRPr="006B2288">
        <w:rPr>
          <w:rFonts w:ascii="Arial"/>
        </w:rPr>
        <w:t>,</w:t>
      </w:r>
      <w:r>
        <w:rPr>
          <w:rFonts w:ascii="Arial"/>
        </w:rPr>
        <w:t xml:space="preserve"> PhD; </w:t>
      </w:r>
      <w:r w:rsidRPr="006B2288">
        <w:rPr>
          <w:rFonts w:ascii="Arial"/>
        </w:rPr>
        <w:t>Mikhai</w:t>
      </w:r>
      <w:r>
        <w:rPr>
          <w:rFonts w:ascii="Arial"/>
        </w:rPr>
        <w:t xml:space="preserve">l </w:t>
      </w:r>
      <w:proofErr w:type="spellStart"/>
      <w:r>
        <w:rPr>
          <w:rFonts w:ascii="Arial"/>
        </w:rPr>
        <w:t>Mischenko</w:t>
      </w:r>
      <w:r>
        <w:rPr>
          <w:rFonts w:ascii="Arial"/>
          <w:vertAlign w:val="superscript"/>
        </w:rPr>
        <w:t>a</w:t>
      </w:r>
      <w:proofErr w:type="spellEnd"/>
      <w:r>
        <w:rPr>
          <w:rFonts w:ascii="Arial"/>
        </w:rPr>
        <w:t xml:space="preserve">; Mikhail </w:t>
      </w:r>
      <w:proofErr w:type="spellStart"/>
      <w:r>
        <w:rPr>
          <w:rFonts w:ascii="Arial"/>
        </w:rPr>
        <w:t>Prokopchuk</w:t>
      </w:r>
      <w:r>
        <w:rPr>
          <w:rFonts w:ascii="Arial"/>
          <w:vertAlign w:val="superscript"/>
        </w:rPr>
        <w:t>a</w:t>
      </w:r>
      <w:proofErr w:type="spellEnd"/>
      <w:r>
        <w:rPr>
          <w:rFonts w:ascii="Arial"/>
        </w:rPr>
        <w:t xml:space="preserve">; </w:t>
      </w:r>
      <w:proofErr w:type="spellStart"/>
      <w:r w:rsidRPr="006B2288">
        <w:rPr>
          <w:rFonts w:ascii="Arial"/>
        </w:rPr>
        <w:t>Yulia</w:t>
      </w:r>
      <w:proofErr w:type="spellEnd"/>
      <w:r w:rsidRPr="006B2288">
        <w:rPr>
          <w:rFonts w:ascii="Arial"/>
        </w:rPr>
        <w:t xml:space="preserve"> </w:t>
      </w:r>
      <w:proofErr w:type="spellStart"/>
      <w:r w:rsidRPr="006B2288">
        <w:rPr>
          <w:rFonts w:ascii="Arial"/>
        </w:rPr>
        <w:t>Listopadskaya</w:t>
      </w:r>
      <w:r>
        <w:rPr>
          <w:rFonts w:ascii="Arial"/>
          <w:vertAlign w:val="superscript"/>
        </w:rPr>
        <w:t>a</w:t>
      </w:r>
      <w:proofErr w:type="spellEnd"/>
      <w:r>
        <w:rPr>
          <w:rFonts w:ascii="Arial"/>
        </w:rPr>
        <w:t xml:space="preserve">; Tatyana </w:t>
      </w:r>
      <w:proofErr w:type="spellStart"/>
      <w:r>
        <w:rPr>
          <w:rFonts w:ascii="Arial"/>
        </w:rPr>
        <w:t>Safonova</w:t>
      </w:r>
      <w:r>
        <w:rPr>
          <w:rFonts w:ascii="Arial"/>
          <w:vertAlign w:val="superscript"/>
        </w:rPr>
        <w:t>b</w:t>
      </w:r>
      <w:proofErr w:type="spellEnd"/>
      <w:r>
        <w:rPr>
          <w:rFonts w:ascii="Arial"/>
        </w:rPr>
        <w:t xml:space="preserve">; Ekaterina </w:t>
      </w:r>
      <w:proofErr w:type="spellStart"/>
      <w:r>
        <w:rPr>
          <w:rFonts w:ascii="Arial"/>
        </w:rPr>
        <w:t>Sikach</w:t>
      </w:r>
      <w:r>
        <w:rPr>
          <w:rFonts w:ascii="Arial"/>
          <w:vertAlign w:val="superscript"/>
        </w:rPr>
        <w:t>b</w:t>
      </w:r>
      <w:proofErr w:type="spellEnd"/>
    </w:p>
    <w:p w:rsidR="006B2288" w:rsidRPr="006B2288" w:rsidRDefault="006B2288" w:rsidP="006B2288">
      <w:pPr>
        <w:pStyle w:val="a3"/>
        <w:spacing w:before="73" w:line="198" w:lineRule="exact"/>
        <w:ind w:left="100" w:right="58"/>
        <w:rPr>
          <w:rFonts w:ascii="Arial"/>
        </w:rPr>
      </w:pPr>
      <w:proofErr w:type="spellStart"/>
      <w:r>
        <w:rPr>
          <w:rFonts w:ascii="Arial"/>
          <w:vertAlign w:val="superscript"/>
        </w:rPr>
        <w:t>a</w:t>
      </w:r>
      <w:r w:rsidRPr="006B2288">
        <w:rPr>
          <w:rFonts w:ascii="Arial"/>
        </w:rPr>
        <w:t>Lom</w:t>
      </w:r>
      <w:r>
        <w:rPr>
          <w:rFonts w:ascii="Arial"/>
        </w:rPr>
        <w:t>onosov</w:t>
      </w:r>
      <w:proofErr w:type="spellEnd"/>
      <w:r>
        <w:rPr>
          <w:rFonts w:ascii="Arial"/>
        </w:rPr>
        <w:t xml:space="preserve"> Moscow State University </w:t>
      </w:r>
      <w:r w:rsidRPr="006B2288">
        <w:rPr>
          <w:rFonts w:ascii="Arial"/>
        </w:rPr>
        <w:t>Moscow, Russia</w:t>
      </w:r>
    </w:p>
    <w:p w:rsidR="005973B9" w:rsidRDefault="006B2288" w:rsidP="006B2288">
      <w:pPr>
        <w:pStyle w:val="a3"/>
        <w:spacing w:before="73" w:line="198" w:lineRule="exact"/>
        <w:ind w:left="100" w:right="58"/>
        <w:rPr>
          <w:rFonts w:ascii="Arial"/>
        </w:rPr>
      </w:pPr>
      <w:proofErr w:type="spellStart"/>
      <w:r>
        <w:rPr>
          <w:rFonts w:ascii="Arial"/>
          <w:vertAlign w:val="superscript"/>
        </w:rPr>
        <w:t>b</w:t>
      </w:r>
      <w:r w:rsidRPr="006B2288">
        <w:rPr>
          <w:rFonts w:ascii="Arial"/>
        </w:rPr>
        <w:t>Research</w:t>
      </w:r>
      <w:proofErr w:type="spellEnd"/>
      <w:r w:rsidRPr="006B2288">
        <w:rPr>
          <w:rFonts w:ascii="Arial"/>
        </w:rPr>
        <w:t xml:space="preserve"> Institute of Eye Diseases, Moscow, Russia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Default="00A9710C" w:rsidP="007D6AE5">
      <w:pPr>
        <w:pStyle w:val="a3"/>
        <w:spacing w:before="90" w:line="280" w:lineRule="auto"/>
        <w:ind w:left="100"/>
        <w:jc w:val="both"/>
      </w:pPr>
      <w:r>
        <w:t xml:space="preserve">Statement of the Problem: </w:t>
      </w:r>
      <w:r w:rsidR="007D6AE5">
        <w:t>T</w:t>
      </w:r>
      <w:r w:rsidR="006B2288">
        <w:t>he tear film stability assessment repre</w:t>
      </w:r>
      <w:r w:rsidR="006B2288">
        <w:t xml:space="preserve">sents one of the most important </w:t>
      </w:r>
      <w:r w:rsidR="006B2288">
        <w:t xml:space="preserve">diagnostic criteria in DES. The </w:t>
      </w:r>
      <w:r w:rsidR="00C53948">
        <w:t xml:space="preserve">limitations of current methods of its assessment </w:t>
      </w:r>
      <w:r w:rsidR="006B2288">
        <w:t>may be overcome by the</w:t>
      </w:r>
      <w:r w:rsidR="006B2288">
        <w:t xml:space="preserve"> development and implementation </w:t>
      </w:r>
      <w:r w:rsidR="006B2288">
        <w:t>of improved</w:t>
      </w:r>
      <w:r w:rsidR="006B2288">
        <w:t xml:space="preserve"> automated diagnostics methods. </w:t>
      </w:r>
      <w:r w:rsidR="002A3F4F">
        <w:t xml:space="preserve">As one of these methods </w:t>
      </w:r>
      <w:r w:rsidR="006B2288">
        <w:t xml:space="preserve">the </w:t>
      </w:r>
      <w:r w:rsidR="006B2288">
        <w:t>device prototype based on frequ</w:t>
      </w:r>
      <w:r w:rsidR="002A3F4F">
        <w:t>ency-domain THz reflectometry is</w:t>
      </w:r>
      <w:r w:rsidR="006B2288">
        <w:t xml:space="preserve"> proposed. It allows to an</w:t>
      </w:r>
      <w:r w:rsidR="006B2288">
        <w:t xml:space="preserve">alyze </w:t>
      </w:r>
      <w:r w:rsidR="006B2288">
        <w:t xml:space="preserve">the rate of dehydration of the corneal surface and, as a result, to </w:t>
      </w:r>
      <w:r w:rsidR="006B2288">
        <w:t xml:space="preserve">calculate the time of tear film </w:t>
      </w:r>
      <w:r w:rsidR="002A3F4F">
        <w:t>rupture</w:t>
      </w:r>
      <w:r w:rsidR="006B2288">
        <w:t>. The purpose of this study is t</w:t>
      </w:r>
      <w:r w:rsidR="006B2288" w:rsidRPr="006B2288">
        <w:t xml:space="preserve">o </w:t>
      </w:r>
      <w:r w:rsidR="002A3F4F">
        <w:t xml:space="preserve">analyze its applicability </w:t>
      </w:r>
      <w:r w:rsidR="002A3F4F">
        <w:t xml:space="preserve">of the </w:t>
      </w:r>
      <w:r w:rsidR="006B2288" w:rsidRPr="006B2288">
        <w:t>develop</w:t>
      </w:r>
      <w:r w:rsidR="002A3F4F">
        <w:t xml:space="preserve">ed prototype device </w:t>
      </w:r>
      <w:r w:rsidR="007D6AE5">
        <w:t>in ophthalmology clinical practice</w:t>
      </w:r>
      <w:r w:rsidR="00676F94">
        <w:t>.</w:t>
      </w:r>
      <w:r>
        <w:t xml:space="preserve"> Methodolog</w:t>
      </w:r>
      <w:r w:rsidR="008756E6">
        <w:t xml:space="preserve">y &amp; Theoretical Orientation: </w:t>
      </w:r>
      <w:r w:rsidR="007D6AE5" w:rsidRPr="007D6AE5">
        <w:t xml:space="preserve">The benefit of </w:t>
      </w:r>
      <w:r w:rsidR="00C53948">
        <w:t>the developed</w:t>
      </w:r>
      <w:r w:rsidR="007D6AE5" w:rsidRPr="007D6AE5">
        <w:t xml:space="preserve"> device is that it has options to vary the frequency of the probe radiation, which allows us to assess the exact selected corneal region</w:t>
      </w:r>
      <w:r w:rsidR="007D6AE5">
        <w:t xml:space="preserve"> </w:t>
      </w:r>
      <w:r w:rsidR="007D6AE5" w:rsidRPr="007D6AE5">
        <w:t>and, at the same time, to separate the contribution from the tear film and corneal epithelium in the overall THz “re</w:t>
      </w:r>
      <w:bookmarkStart w:id="0" w:name="_GoBack"/>
      <w:bookmarkEnd w:id="0"/>
      <w:r w:rsidR="007D6AE5" w:rsidRPr="007D6AE5">
        <w:t>sponse” signal while maintaining maximum spectral sensitivity.  The experimental study was conducted on</w:t>
      </w:r>
      <w:r w:rsidR="007D6AE5">
        <w:t xml:space="preserve"> overall </w:t>
      </w:r>
      <w:r w:rsidR="007D6AE5">
        <w:t>29 (58 eyes) h</w:t>
      </w:r>
      <w:r w:rsidR="007D6AE5">
        <w:t xml:space="preserve">ealthy volunteers and patients. </w:t>
      </w:r>
      <w:r>
        <w:t>Findings:</w:t>
      </w:r>
      <w:r w:rsidR="007D6AE5">
        <w:t xml:space="preserve"> A</w:t>
      </w:r>
      <w:r w:rsidR="007D6AE5" w:rsidRPr="007D6AE5">
        <w:t xml:space="preserve"> graphical representation of the corneal hydration dynamics was obtained. It is apparent from the graph that there is a clear trend of decreasing reflection coefficient over time in relation to the physiological blinking cycle and the associated changes in the tear film stability and corneal epithelium hydration.</w:t>
      </w:r>
      <w:r>
        <w:t xml:space="preserve"> </w:t>
      </w:r>
      <w:r w:rsidR="00676F94">
        <w:t xml:space="preserve">Typical behavior of the amplitude of reflected THz signal </w:t>
      </w:r>
      <w:r w:rsidR="007D6AE5">
        <w:t>over time is presented on Figure for patients with</w:t>
      </w:r>
      <w:r w:rsidR="00676F94">
        <w:t xml:space="preserve"> DES </w:t>
      </w:r>
      <w:r w:rsidR="007D6AE5">
        <w:t xml:space="preserve">(a) </w:t>
      </w:r>
      <w:r w:rsidR="00676F94">
        <w:t xml:space="preserve">and </w:t>
      </w:r>
      <w:r w:rsidR="00C53948">
        <w:t xml:space="preserve">healthy </w:t>
      </w:r>
      <w:r w:rsidR="00C53948">
        <w:t xml:space="preserve">volunteers </w:t>
      </w:r>
      <w:r w:rsidR="00676F94">
        <w:t>(b)</w:t>
      </w:r>
      <w:r w:rsidR="00C53948">
        <w:t xml:space="preserve"> (</w:t>
      </w:r>
      <w:r w:rsidR="00676F94">
        <w:t>Dots: experimental d</w:t>
      </w:r>
      <w:r w:rsidR="00C53948">
        <w:t>ata; line: linear approximation).</w:t>
      </w:r>
      <w:r>
        <w:t xml:space="preserve"> Conclusion &amp; Significance: </w:t>
      </w:r>
      <w:r w:rsidR="00676F94" w:rsidRPr="00676F94">
        <w:t xml:space="preserve">The proposed diagnostic method based on THz radiation is fundamentally different from the ones that are already used in ophthalmology clinical practice and allows us to in vivo analyze the </w:t>
      </w:r>
      <w:r w:rsidR="00C53948" w:rsidRPr="00C53948">
        <w:t xml:space="preserve">corneal outer layers' hydration level </w:t>
      </w:r>
      <w:r w:rsidR="00676F94" w:rsidRPr="00676F94">
        <w:t>and tear film stability</w:t>
      </w:r>
      <w:r w:rsidR="00C53948">
        <w:t>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676F94">
      <w:pPr>
        <w:pStyle w:val="a3"/>
        <w:spacing w:before="2"/>
        <w:rPr>
          <w:rFonts w:ascii="Arial"/>
          <w:b/>
          <w:sz w:val="16"/>
        </w:rPr>
      </w:pPr>
      <w:r w:rsidRPr="00676F94">
        <w:rPr>
          <w:noProof/>
          <w:lang w:val="ru-RU" w:eastAsia="ru-RU"/>
        </w:rPr>
        <w:drawing>
          <wp:inline distT="0" distB="0" distL="0" distR="0">
            <wp:extent cx="3165475" cy="19205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9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C53948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676F94" w:rsidRDefault="00676F94" w:rsidP="00676F94">
      <w:pPr>
        <w:pStyle w:val="a5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676F94">
        <w:rPr>
          <w:sz w:val="18"/>
        </w:rPr>
        <w:t>D. B. Bennett et al., “Terahertz sensing in corneal tissues,” J. Biomed. Opt. 16, 057003</w:t>
      </w:r>
      <w:r>
        <w:rPr>
          <w:sz w:val="18"/>
        </w:rPr>
        <w:t xml:space="preserve"> </w:t>
      </w:r>
      <w:r w:rsidRPr="00676F94">
        <w:rPr>
          <w:sz w:val="18"/>
        </w:rPr>
        <w:t>(2011).</w:t>
      </w:r>
    </w:p>
    <w:p w:rsidR="00676F94" w:rsidRDefault="00676F94" w:rsidP="00676F94">
      <w:pPr>
        <w:pStyle w:val="a5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676F94">
        <w:rPr>
          <w:sz w:val="18"/>
        </w:rPr>
        <w:t>Z. D. Taylor et al., “THz and mm-wave sensing of corneal tissue water content: electromagnetic</w:t>
      </w:r>
      <w:r>
        <w:rPr>
          <w:sz w:val="18"/>
        </w:rPr>
        <w:t xml:space="preserve"> </w:t>
      </w:r>
      <w:r w:rsidRPr="00676F94">
        <w:rPr>
          <w:sz w:val="18"/>
        </w:rPr>
        <w:t>modeling and analysis,” IEEE Trans. Terahertz Sci. Technol. 5, 170–183 (2015).</w:t>
      </w:r>
    </w:p>
    <w:p w:rsidR="00676F94" w:rsidRDefault="00676F94" w:rsidP="00676F94">
      <w:pPr>
        <w:pStyle w:val="a5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676F94">
        <w:rPr>
          <w:sz w:val="18"/>
        </w:rPr>
        <w:t>Z. D. Taylor et al., “THz and mm-wave sensing of corneal tissue water content: in vivo</w:t>
      </w:r>
      <w:r>
        <w:rPr>
          <w:sz w:val="18"/>
        </w:rPr>
        <w:t xml:space="preserve"> </w:t>
      </w:r>
      <w:r w:rsidRPr="00676F94">
        <w:rPr>
          <w:sz w:val="18"/>
        </w:rPr>
        <w:t>sensing and imaging results,” IEEE Trans. Terahertz Sci. Technol. 5, 184–196 (2015).</w:t>
      </w:r>
    </w:p>
    <w:p w:rsidR="00676F94" w:rsidRDefault="00676F94" w:rsidP="00676F94">
      <w:pPr>
        <w:pStyle w:val="a5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676F94">
        <w:rPr>
          <w:sz w:val="18"/>
        </w:rPr>
        <w:t xml:space="preserve">E. N. </w:t>
      </w:r>
      <w:proofErr w:type="spellStart"/>
      <w:r w:rsidRPr="00676F94">
        <w:rPr>
          <w:sz w:val="18"/>
        </w:rPr>
        <w:t>Iomdina</w:t>
      </w:r>
      <w:proofErr w:type="spellEnd"/>
      <w:r w:rsidRPr="00676F94">
        <w:rPr>
          <w:sz w:val="18"/>
        </w:rPr>
        <w:t xml:space="preserve"> et al., “Study of transmittance and refle</w:t>
      </w:r>
      <w:r>
        <w:rPr>
          <w:sz w:val="18"/>
        </w:rPr>
        <w:t xml:space="preserve">ctance spectra of the cornea and </w:t>
      </w:r>
      <w:r w:rsidRPr="00676F94">
        <w:rPr>
          <w:sz w:val="18"/>
        </w:rPr>
        <w:t>the sclera in the THz frequency range,” J. Biomed. Opt. 21(9), 097002 (2016).</w:t>
      </w:r>
    </w:p>
    <w:p w:rsidR="00AE3E37" w:rsidRDefault="00676F94" w:rsidP="00676F94">
      <w:pPr>
        <w:pStyle w:val="a5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676F94">
        <w:rPr>
          <w:sz w:val="18"/>
        </w:rPr>
        <w:t xml:space="preserve">I. </w:t>
      </w:r>
      <w:proofErr w:type="spellStart"/>
      <w:r w:rsidRPr="00676F94">
        <w:rPr>
          <w:sz w:val="18"/>
        </w:rPr>
        <w:t>Ozheredov</w:t>
      </w:r>
      <w:proofErr w:type="spellEnd"/>
      <w:r w:rsidRPr="00676F94">
        <w:rPr>
          <w:sz w:val="18"/>
        </w:rPr>
        <w:t xml:space="preserve"> et al., “In vivo THz sensing of the cornea of the eye,” Laser Phys. Lett. 15,</w:t>
      </w:r>
      <w:r>
        <w:rPr>
          <w:sz w:val="18"/>
        </w:rPr>
        <w:t xml:space="preserve"> </w:t>
      </w:r>
      <w:r w:rsidRPr="00676F94">
        <w:rPr>
          <w:sz w:val="18"/>
        </w:rPr>
        <w:t>55601 (2018).</w:t>
      </w:r>
    </w:p>
    <w:p w:rsidR="00676F94" w:rsidRPr="00676F94" w:rsidRDefault="00676F94" w:rsidP="00676F94">
      <w:pPr>
        <w:pStyle w:val="a5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676F94">
        <w:rPr>
          <w:sz w:val="18"/>
        </w:rPr>
        <w:t xml:space="preserve">E A Kekkonen, A </w:t>
      </w:r>
      <w:proofErr w:type="spellStart"/>
      <w:r w:rsidRPr="00676F94">
        <w:rPr>
          <w:sz w:val="18"/>
        </w:rPr>
        <w:t>A</w:t>
      </w:r>
      <w:proofErr w:type="spellEnd"/>
      <w:r w:rsidRPr="00676F94">
        <w:rPr>
          <w:sz w:val="18"/>
        </w:rPr>
        <w:t xml:space="preserve"> </w:t>
      </w:r>
      <w:proofErr w:type="spellStart"/>
      <w:r w:rsidRPr="00676F94">
        <w:rPr>
          <w:sz w:val="18"/>
        </w:rPr>
        <w:t>Konovko</w:t>
      </w:r>
      <w:proofErr w:type="spellEnd"/>
      <w:r w:rsidRPr="00676F94">
        <w:rPr>
          <w:sz w:val="18"/>
        </w:rPr>
        <w:t xml:space="preserve">, Yu S Lee, I M Lee, A P </w:t>
      </w:r>
      <w:proofErr w:type="spellStart"/>
      <w:r w:rsidRPr="00676F94">
        <w:rPr>
          <w:sz w:val="18"/>
        </w:rPr>
        <w:t>Shkurinov</w:t>
      </w:r>
      <w:proofErr w:type="spellEnd"/>
      <w:r w:rsidRPr="00676F94">
        <w:rPr>
          <w:sz w:val="18"/>
        </w:rPr>
        <w:t xml:space="preserve">, I A </w:t>
      </w:r>
      <w:proofErr w:type="spellStart"/>
      <w:r w:rsidRPr="00676F94">
        <w:rPr>
          <w:sz w:val="18"/>
        </w:rPr>
        <w:t>Ozherdov</w:t>
      </w:r>
      <w:proofErr w:type="spellEnd"/>
      <w:r w:rsidRPr="00676F94">
        <w:rPr>
          <w:sz w:val="18"/>
        </w:rPr>
        <w:t xml:space="preserve">, K H Park, T N </w:t>
      </w:r>
      <w:proofErr w:type="spellStart"/>
      <w:r w:rsidRPr="00676F94">
        <w:rPr>
          <w:sz w:val="18"/>
        </w:rPr>
        <w:t>Safonova</w:t>
      </w:r>
      <w:proofErr w:type="spellEnd"/>
      <w:r w:rsidRPr="00676F94">
        <w:rPr>
          <w:sz w:val="18"/>
        </w:rPr>
        <w:t xml:space="preserve">, E I </w:t>
      </w:r>
      <w:proofErr w:type="spellStart"/>
      <w:r w:rsidRPr="00676F94">
        <w:rPr>
          <w:sz w:val="18"/>
        </w:rPr>
        <w:t>Sikach</w:t>
      </w:r>
      <w:proofErr w:type="spellEnd"/>
      <w:r w:rsidRPr="00676F94">
        <w:rPr>
          <w:sz w:val="18"/>
        </w:rPr>
        <w:t>, "Assessment of the degree of hydration of ocular surface tissues using THz reflectometry", QUANTUM ELECTRON, 2020, 50 (1), 61–68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52FAC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ru-RU" w:eastAsia="ru-RU"/>
        </w:rPr>
        <w:drawing>
          <wp:inline distT="0" distB="0" distL="0" distR="0" wp14:anchorId="1B650C0E" wp14:editId="0E8C3C7F">
            <wp:extent cx="625069" cy="625069"/>
            <wp:effectExtent l="0" t="0" r="381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12227E" w:rsidRDefault="0012227E" w:rsidP="0012227E">
      <w:pPr>
        <w:spacing w:before="62"/>
        <w:ind w:left="851" w:right="58"/>
        <w:rPr>
          <w:rFonts w:ascii="Arial"/>
          <w:sz w:val="14"/>
        </w:rPr>
      </w:pPr>
      <w:r w:rsidRPr="0012227E">
        <w:rPr>
          <w:rFonts w:ascii="Arial"/>
          <w:sz w:val="14"/>
        </w:rPr>
        <w:t xml:space="preserve">Ekaterina </w:t>
      </w:r>
      <w:proofErr w:type="spellStart"/>
      <w:r w:rsidRPr="0012227E">
        <w:rPr>
          <w:rFonts w:ascii="Arial"/>
          <w:sz w:val="14"/>
        </w:rPr>
        <w:t>Sikach</w:t>
      </w:r>
      <w:proofErr w:type="spellEnd"/>
      <w:r w:rsidRPr="0012227E">
        <w:rPr>
          <w:rFonts w:ascii="Arial"/>
          <w:sz w:val="14"/>
        </w:rPr>
        <w:t xml:space="preserve"> is a post-graduate student at (Moscow, Russia). Her</w:t>
      </w:r>
      <w:r>
        <w:rPr>
          <w:rFonts w:ascii="Arial"/>
          <w:sz w:val="14"/>
        </w:rPr>
        <w:t xml:space="preserve"> </w:t>
      </w:r>
      <w:r w:rsidRPr="0012227E">
        <w:rPr>
          <w:rFonts w:ascii="Arial"/>
          <w:sz w:val="14"/>
        </w:rPr>
        <w:t>research interest is centered around development of treatment of dry eye syndrome.</w:t>
      </w:r>
    </w:p>
    <w:p w:rsidR="00AE3E37" w:rsidRDefault="00A9710C" w:rsidP="0012227E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12227E">
          <w:rPr>
            <w:rStyle w:val="ac"/>
            <w:rFonts w:ascii="Arial"/>
            <w:sz w:val="14"/>
          </w:rPr>
          <w:t>e.sikach</w:t>
        </w:r>
        <w:r w:rsidR="008756E6" w:rsidRPr="00616076">
          <w:rPr>
            <w:rStyle w:val="ac"/>
            <w:rFonts w:ascii="Arial"/>
            <w:sz w:val="14"/>
          </w:rPr>
          <w:t>@</w:t>
        </w:r>
        <w:r w:rsidR="0012227E">
          <w:rPr>
            <w:rStyle w:val="ac"/>
            <w:rFonts w:ascii="Arial"/>
            <w:sz w:val="14"/>
          </w:rPr>
          <w:t>niigb.ru</w:t>
        </w:r>
      </w:hyperlink>
    </w:p>
    <w:p w:rsidR="00AE3E37" w:rsidRPr="00C53948" w:rsidRDefault="00292ED9" w:rsidP="00C53948">
      <w:pPr>
        <w:pStyle w:val="a3"/>
        <w:spacing w:before="2"/>
        <w:rPr>
          <w:rFonts w:ascii="Arial"/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72EC0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12227E" w:rsidRDefault="00A9710C" w:rsidP="0012227E">
      <w:pPr>
        <w:spacing w:before="39"/>
        <w:ind w:left="100"/>
        <w:rPr>
          <w:rFonts w:ascii="Minion Pro"/>
          <w:b/>
          <w:sz w:val="20"/>
        </w:rPr>
        <w:sectPr w:rsidR="00AE3E37" w:rsidRPr="0012227E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  <w:r w:rsidR="0012227E">
        <w:rPr>
          <w:rFonts w:ascii="Minion Pro"/>
          <w:b/>
          <w:sz w:val="20"/>
        </w:rPr>
        <w:t xml:space="preserve"> </w: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643" w:rsidRDefault="00042643">
      <w:r>
        <w:separator/>
      </w:r>
    </w:p>
  </w:endnote>
  <w:endnote w:type="continuationSeparator" w:id="0">
    <w:p w:rsidR="00042643" w:rsidRDefault="00042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643" w:rsidRDefault="00042643">
      <w:r>
        <w:separator/>
      </w:r>
    </w:p>
  </w:footnote>
  <w:footnote w:type="continuationSeparator" w:id="0">
    <w:p w:rsidR="00042643" w:rsidRDefault="00042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5C5E4127"/>
    <w:multiLevelType w:val="hybridMultilevel"/>
    <w:tmpl w:val="4BFA2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42643"/>
    <w:rsid w:val="000E2911"/>
    <w:rsid w:val="0010183E"/>
    <w:rsid w:val="0012227E"/>
    <w:rsid w:val="001263DF"/>
    <w:rsid w:val="00292ED9"/>
    <w:rsid w:val="002A3F4F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60B59"/>
    <w:rsid w:val="00676F94"/>
    <w:rsid w:val="006B2288"/>
    <w:rsid w:val="00703FCF"/>
    <w:rsid w:val="00761E1F"/>
    <w:rsid w:val="007D6AE5"/>
    <w:rsid w:val="008703A7"/>
    <w:rsid w:val="00873DF0"/>
    <w:rsid w:val="008756E6"/>
    <w:rsid w:val="009B2D44"/>
    <w:rsid w:val="009E2CBD"/>
    <w:rsid w:val="00A07E82"/>
    <w:rsid w:val="00A92311"/>
    <w:rsid w:val="00A9710C"/>
    <w:rsid w:val="00AE3E37"/>
    <w:rsid w:val="00AE6F28"/>
    <w:rsid w:val="00B21A57"/>
    <w:rsid w:val="00B23A9F"/>
    <w:rsid w:val="00C33602"/>
    <w:rsid w:val="00C53948"/>
    <w:rsid w:val="00CB7125"/>
    <w:rsid w:val="00CD6F55"/>
    <w:rsid w:val="00D4502B"/>
    <w:rsid w:val="00DD780E"/>
    <w:rsid w:val="00DE3104"/>
    <w:rsid w:val="00E82176"/>
    <w:rsid w:val="00F27E3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FEBD6C"/>
  <w15:docId w15:val="{AEAD2D53-1DD4-4D1E-9BD7-4522848A4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3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80477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157109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530</Words>
  <Characters>3027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usr</cp:lastModifiedBy>
  <cp:revision>2</cp:revision>
  <dcterms:created xsi:type="dcterms:W3CDTF">2020-03-06T15:06:00Z</dcterms:created>
  <dcterms:modified xsi:type="dcterms:W3CDTF">2020-03-06T15:06:00Z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