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E2B82" w14:textId="77777777" w:rsidR="001A6804" w:rsidRPr="001A6804" w:rsidRDefault="001A6804" w:rsidP="001A6804">
      <w:pPr>
        <w:widowControl/>
        <w:spacing w:after="160" w:line="259" w:lineRule="auto"/>
        <w:jc w:val="both"/>
        <w:rPr>
          <w:rFonts w:ascii="Times New Roman" w:eastAsia="Calibri" w:hAnsi="Times New Roman" w:cs="Times New Roman"/>
          <w:b/>
          <w:bCs/>
          <w:sz w:val="24"/>
        </w:rPr>
      </w:pPr>
      <w:r w:rsidRPr="001A6804">
        <w:rPr>
          <w:rFonts w:ascii="Times New Roman" w:eastAsia="Calibri" w:hAnsi="Times New Roman" w:cs="Times New Roman"/>
          <w:b/>
          <w:bCs/>
          <w:sz w:val="24"/>
        </w:rPr>
        <w:t>Efficacy and Safety of Selective Laser Trabeculoplasty (SLT) Among Glaucoma Patients</w:t>
      </w:r>
    </w:p>
    <w:p w14:paraId="0007FEDC" w14:textId="32191788" w:rsidR="001A6804" w:rsidRPr="001A6804" w:rsidRDefault="001A6804" w:rsidP="001A6804">
      <w:pPr>
        <w:widowControl/>
        <w:spacing w:after="160" w:line="259" w:lineRule="auto"/>
        <w:jc w:val="both"/>
        <w:rPr>
          <w:rFonts w:ascii="Times New Roman" w:eastAsia="Calibri" w:hAnsi="Times New Roman" w:cs="Times New Roman"/>
          <w:sz w:val="24"/>
        </w:rPr>
      </w:pPr>
      <w:r w:rsidRPr="001A6804">
        <w:rPr>
          <w:rFonts w:ascii="Times New Roman" w:eastAsia="Calibri" w:hAnsi="Times New Roman" w:cs="Times New Roman"/>
          <w:sz w:val="24"/>
        </w:rPr>
        <w:t xml:space="preserve">Jibat S. Gemida¹, Abeba T. Giorgis², </w:t>
      </w:r>
      <w:proofErr w:type="spellStart"/>
      <w:r w:rsidRPr="001A6804">
        <w:rPr>
          <w:rFonts w:ascii="Times New Roman" w:eastAsia="Calibri" w:hAnsi="Times New Roman" w:cs="Times New Roman"/>
          <w:sz w:val="24"/>
        </w:rPr>
        <w:t>Abiye</w:t>
      </w:r>
      <w:proofErr w:type="spellEnd"/>
      <w:r w:rsidRPr="001A6804">
        <w:rPr>
          <w:rFonts w:ascii="Times New Roman" w:eastAsia="Calibri" w:hAnsi="Times New Roman" w:cs="Times New Roman"/>
          <w:sz w:val="24"/>
        </w:rPr>
        <w:t xml:space="preserve"> Mulugeta³, Hodge WG</w:t>
      </w:r>
      <w:r w:rsidR="002B4272">
        <w:rPr>
          <w:rFonts w:ascii="Times New Roman" w:eastAsia="Calibri" w:hAnsi="Times New Roman" w:cs="Times New Roman"/>
          <w:sz w:val="24"/>
        </w:rPr>
        <w:t>⁴</w:t>
      </w:r>
      <w:r w:rsidRPr="001A6804">
        <w:rPr>
          <w:rFonts w:ascii="Times New Roman" w:eastAsia="Calibri" w:hAnsi="Times New Roman" w:cs="Times New Roman"/>
          <w:sz w:val="24"/>
        </w:rPr>
        <w:t>, Karim F. Damji⁵</w:t>
      </w:r>
    </w:p>
    <w:p w14:paraId="57F3BF72" w14:textId="6DB7F2E5" w:rsidR="005973B9" w:rsidRDefault="005973B9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3D0457A6" w14:textId="77777777" w:rsidR="00AE3E37" w:rsidRDefault="00AE3E37">
      <w:pPr>
        <w:pStyle w:val="BodyText"/>
        <w:rPr>
          <w:rFonts w:ascii="Arial"/>
          <w:sz w:val="20"/>
        </w:rPr>
      </w:pPr>
    </w:p>
    <w:p w14:paraId="6AA34FF9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163FE70A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8917E03" w14:textId="77777777" w:rsidR="001A6804" w:rsidRPr="008C1FFA" w:rsidRDefault="001A6804" w:rsidP="001A6804">
      <w:pPr>
        <w:jc w:val="both"/>
        <w:rPr>
          <w:rFonts w:ascii="Times New Roman" w:hAnsi="Times New Roman" w:cs="Times New Roman"/>
          <w:b/>
          <w:bCs/>
        </w:rPr>
      </w:pPr>
      <w:r w:rsidRPr="008C1FFA">
        <w:rPr>
          <w:rFonts w:ascii="Times New Roman" w:hAnsi="Times New Roman" w:cs="Times New Roman"/>
          <w:b/>
          <w:bCs/>
        </w:rPr>
        <w:t xml:space="preserve">Purpose </w:t>
      </w:r>
      <w:bookmarkStart w:id="0" w:name="_GoBack"/>
      <w:bookmarkEnd w:id="0"/>
    </w:p>
    <w:p w14:paraId="409C0A9D" w14:textId="77777777" w:rsidR="001A6804" w:rsidRPr="008C1FFA" w:rsidRDefault="001A6804" w:rsidP="001A6804">
      <w:pPr>
        <w:jc w:val="both"/>
        <w:rPr>
          <w:rFonts w:ascii="Times New Roman" w:hAnsi="Times New Roman" w:cs="Times New Roman"/>
        </w:rPr>
      </w:pPr>
      <w:r w:rsidRPr="008C1FFA">
        <w:rPr>
          <w:rFonts w:ascii="Times New Roman" w:hAnsi="Times New Roman" w:cs="Times New Roman"/>
        </w:rPr>
        <w:t xml:space="preserve">To determine the efficacy and safety of SLT among Ethiopian glaucoma patients with primary open angle glaucoma (POAG), pseudoexfoliation glaucoma (PXG) and ocular hypertension (OHT). </w:t>
      </w:r>
    </w:p>
    <w:p w14:paraId="3D4FF47D" w14:textId="77777777" w:rsidR="001A6804" w:rsidRPr="008C1FFA" w:rsidRDefault="001A6804" w:rsidP="001A6804">
      <w:pPr>
        <w:jc w:val="both"/>
        <w:rPr>
          <w:rFonts w:ascii="Times New Roman" w:hAnsi="Times New Roman" w:cs="Times New Roman"/>
          <w:b/>
          <w:bCs/>
        </w:rPr>
      </w:pPr>
      <w:r w:rsidRPr="008C1FFA">
        <w:rPr>
          <w:rFonts w:ascii="Times New Roman" w:hAnsi="Times New Roman" w:cs="Times New Roman"/>
          <w:b/>
          <w:bCs/>
        </w:rPr>
        <w:t>Method</w:t>
      </w:r>
    </w:p>
    <w:p w14:paraId="3F6335E1" w14:textId="77777777" w:rsidR="001A6804" w:rsidRPr="008C1FFA" w:rsidRDefault="001A6804" w:rsidP="001A6804">
      <w:pPr>
        <w:jc w:val="both"/>
        <w:rPr>
          <w:rFonts w:ascii="Times New Roman" w:hAnsi="Times New Roman" w:cs="Times New Roman"/>
        </w:rPr>
      </w:pPr>
      <w:r w:rsidRPr="008C1FFA">
        <w:rPr>
          <w:rFonts w:ascii="Times New Roman" w:hAnsi="Times New Roman" w:cs="Times New Roman"/>
        </w:rPr>
        <w:t xml:space="preserve">A prospective, non-randomized interventional study was conducted in Menelik II hospital, Ethiopia. Patients on antiglaucoma medication with uncontrolled IOP and those patients treated for first-time with SLT were included. All patients underwent 360⁰ angle laser treatment. </w:t>
      </w:r>
    </w:p>
    <w:p w14:paraId="5C16C3BD" w14:textId="77777777" w:rsidR="001A6804" w:rsidRPr="008C1FFA" w:rsidRDefault="001A6804" w:rsidP="001A6804">
      <w:pPr>
        <w:jc w:val="both"/>
        <w:rPr>
          <w:rFonts w:ascii="Times New Roman" w:hAnsi="Times New Roman" w:cs="Times New Roman"/>
          <w:b/>
          <w:bCs/>
        </w:rPr>
      </w:pPr>
      <w:r w:rsidRPr="008C1FFA">
        <w:rPr>
          <w:rFonts w:ascii="Times New Roman" w:hAnsi="Times New Roman" w:cs="Times New Roman"/>
          <w:b/>
          <w:bCs/>
        </w:rPr>
        <w:t xml:space="preserve">Result </w:t>
      </w:r>
    </w:p>
    <w:p w14:paraId="7060230B" w14:textId="77777777" w:rsidR="001A6804" w:rsidRPr="008C1FFA" w:rsidRDefault="001A6804" w:rsidP="001A6804">
      <w:pPr>
        <w:jc w:val="both"/>
        <w:rPr>
          <w:rFonts w:ascii="Times New Roman" w:hAnsi="Times New Roman" w:cs="Times New Roman"/>
        </w:rPr>
      </w:pPr>
      <w:r w:rsidRPr="008C1FFA">
        <w:rPr>
          <w:rFonts w:ascii="Times New Roman" w:hAnsi="Times New Roman" w:cs="Times New Roman"/>
        </w:rPr>
        <w:t>A total of 95 eyes of 61 patients with diagnosis of OAG and OHT were enrolled. The diagnosis was POAG in 55 (57.9%) eyes, PXG in 22 (23.2%) eyes and OHT in 18 (18.9%) eyes. Seventy (73.7%) eyes were on medications and 25 (26.3%) eyes were first time laser patients. The mean (SD) baseline IOP and medication were 24.3 ± 2.5mmHg and 1.29 ± 1.01, respectively. Overall the mean (SD) IOP after SLT was 17.6 ± 3.4 mmHg at 12 months. The one-year mean (SD) IOP reduction was 6.7 ± 4.2 mmHg and medication reduction was 0.26 ± 1.34. The overall IOP reduction at 12 months was 27.6% and the success rate was 60%. The success rate was not statistically different between POAG, PXG and OHT (p=0.663). The mean IOP (SD) reduction for patients who were first-time laser and on antiglaucoma medication were 6.5±3.1 mmHg and 6.8±2.8 mmHg, respectively. Post SLT, patients experienced transient ocular pain, brow ache, headache, and/or blurring of vision in 31.6%, anterior chamber reaction in 36.8% and IOP spike ≥ 6 mmHg in 11.6%.</w:t>
      </w:r>
    </w:p>
    <w:p w14:paraId="332D40BA" w14:textId="77777777" w:rsidR="001A6804" w:rsidRPr="008C1FFA" w:rsidRDefault="001A6804" w:rsidP="001A6804">
      <w:pPr>
        <w:jc w:val="both"/>
        <w:rPr>
          <w:rFonts w:ascii="Times New Roman" w:hAnsi="Times New Roman" w:cs="Times New Roman"/>
          <w:b/>
          <w:bCs/>
        </w:rPr>
      </w:pPr>
      <w:r w:rsidRPr="008C1FFA">
        <w:rPr>
          <w:rFonts w:ascii="Times New Roman" w:hAnsi="Times New Roman" w:cs="Times New Roman"/>
          <w:b/>
          <w:bCs/>
        </w:rPr>
        <w:t>Conclusion and recommendation</w:t>
      </w:r>
    </w:p>
    <w:p w14:paraId="6A18F06A" w14:textId="77777777" w:rsidR="001A6804" w:rsidRPr="008C1FFA" w:rsidRDefault="001A6804" w:rsidP="001A6804">
      <w:pPr>
        <w:jc w:val="both"/>
        <w:rPr>
          <w:rFonts w:ascii="Times New Roman" w:hAnsi="Times New Roman" w:cs="Times New Roman"/>
        </w:rPr>
      </w:pPr>
      <w:r w:rsidRPr="008C1FFA">
        <w:rPr>
          <w:rFonts w:ascii="Times New Roman" w:hAnsi="Times New Roman" w:cs="Times New Roman"/>
        </w:rPr>
        <w:t>SLT is an effective and safe treatment modality for OHT, POAG and PXG among Ethiopian patients either as first line or as an adjunct to topical glaucoma treatment.</w:t>
      </w:r>
    </w:p>
    <w:p w14:paraId="4CB4A872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49AEEBB7" w14:textId="1008A25A" w:rsidR="00AE3E37" w:rsidRDefault="00DE2E09">
      <w:pPr>
        <w:pStyle w:val="BodyText"/>
        <w:spacing w:before="2"/>
        <w:rPr>
          <w:rFonts w:ascii="Arial"/>
          <w:b/>
          <w:sz w:val="16"/>
        </w:rPr>
      </w:pPr>
      <w:r w:rsidRPr="00DE2E09">
        <w:drawing>
          <wp:inline distT="0" distB="0" distL="0" distR="0" wp14:anchorId="39EFFDA7" wp14:editId="69360CF3">
            <wp:extent cx="3165475" cy="1466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59E33" w14:textId="3C1F34FF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7B0E3AB9" w14:textId="2BB7566C" w:rsidR="00DE2E09" w:rsidRPr="008C1FFA" w:rsidRDefault="00DE2E09" w:rsidP="00DE2E09">
      <w:pPr>
        <w:pStyle w:val="EndNoteBibliography"/>
        <w:numPr>
          <w:ilvl w:val="0"/>
          <w:numId w:val="3"/>
        </w:numPr>
        <w:spacing w:after="0"/>
        <w:rPr>
          <w:sz w:val="20"/>
          <w:szCs w:val="20"/>
        </w:rPr>
      </w:pPr>
      <w:r w:rsidRPr="008C1FFA">
        <w:rPr>
          <w:sz w:val="20"/>
          <w:szCs w:val="20"/>
        </w:rPr>
        <w:t>Tamrat L, Gessesse GW, Gelaw YJMEAjoo. Adherence to topical glaucoma medications in Ethiopian patients. 2015;22(1):59.</w:t>
      </w:r>
    </w:p>
    <w:p w14:paraId="526D98A5" w14:textId="38AD1D1F" w:rsidR="005973B9" w:rsidRPr="008C1FFA" w:rsidRDefault="008C1FFA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imes New Roman" w:hAnsi="Times New Roman" w:cs="Times New Roman"/>
          <w:sz w:val="20"/>
          <w:szCs w:val="20"/>
        </w:rPr>
      </w:pPr>
      <w:proofErr w:type="spellStart"/>
      <w:r w:rsidRPr="008C1FFA">
        <w:rPr>
          <w:rFonts w:ascii="Times New Roman" w:hAnsi="Times New Roman" w:cs="Times New Roman"/>
          <w:sz w:val="20"/>
          <w:szCs w:val="20"/>
        </w:rPr>
        <w:t>Hutnik</w:t>
      </w:r>
      <w:proofErr w:type="spellEnd"/>
      <w:r w:rsidRPr="008C1FFA">
        <w:rPr>
          <w:rFonts w:ascii="Times New Roman" w:hAnsi="Times New Roman" w:cs="Times New Roman"/>
          <w:sz w:val="20"/>
          <w:szCs w:val="20"/>
        </w:rPr>
        <w:t xml:space="preserve"> C, Crichton A, Ford B, et al. Selective Laser Trabeculoplasty versus Argon Laser Trabeculoplasty in Glaucoma Patients Treated Previously with 360° Selective Laser Trabeculoplasty: A Randomized, Single-Blind, Equivalence Clinical Trial. 2019;126(2):223-32.</w:t>
      </w:r>
    </w:p>
    <w:p w14:paraId="5185C2F0" w14:textId="20600B4A" w:rsidR="005973B9" w:rsidRPr="008C1FFA" w:rsidRDefault="008C1FFA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imes New Roman" w:hAnsi="Times New Roman" w:cs="Times New Roman"/>
          <w:sz w:val="20"/>
          <w:szCs w:val="20"/>
        </w:rPr>
      </w:pPr>
      <w:r w:rsidRPr="008C1FFA">
        <w:rPr>
          <w:rFonts w:ascii="Times New Roman" w:hAnsi="Times New Roman" w:cs="Times New Roman"/>
          <w:sz w:val="20"/>
          <w:szCs w:val="20"/>
        </w:rPr>
        <w:t xml:space="preserve">Ayala M, Landau </w:t>
      </w:r>
      <w:proofErr w:type="spellStart"/>
      <w:r w:rsidRPr="008C1FFA">
        <w:rPr>
          <w:rFonts w:ascii="Times New Roman" w:hAnsi="Times New Roman" w:cs="Times New Roman"/>
          <w:sz w:val="20"/>
          <w:szCs w:val="20"/>
        </w:rPr>
        <w:t>Högbeck</w:t>
      </w:r>
      <w:proofErr w:type="spellEnd"/>
      <w:r w:rsidRPr="008C1FFA">
        <w:rPr>
          <w:rFonts w:ascii="Times New Roman" w:hAnsi="Times New Roman" w:cs="Times New Roman"/>
          <w:sz w:val="20"/>
          <w:szCs w:val="20"/>
        </w:rPr>
        <w:t xml:space="preserve"> I, Chen </w:t>
      </w:r>
      <w:proofErr w:type="spellStart"/>
      <w:r w:rsidRPr="008C1FFA">
        <w:rPr>
          <w:rFonts w:ascii="Times New Roman" w:hAnsi="Times New Roman" w:cs="Times New Roman"/>
          <w:sz w:val="20"/>
          <w:szCs w:val="20"/>
        </w:rPr>
        <w:t>EJAo</w:t>
      </w:r>
      <w:proofErr w:type="spellEnd"/>
      <w:r w:rsidRPr="008C1FFA">
        <w:rPr>
          <w:rFonts w:ascii="Times New Roman" w:hAnsi="Times New Roman" w:cs="Times New Roman"/>
          <w:sz w:val="20"/>
          <w:szCs w:val="20"/>
        </w:rPr>
        <w:t>. Inflammation assessment after selective laser trabeculoplasty (SLT) treatment. 2011;89(4</w:t>
      </w:r>
      <w:proofErr w:type="gramStart"/>
      <w:r w:rsidRPr="008C1FFA">
        <w:rPr>
          <w:rFonts w:ascii="Times New Roman" w:hAnsi="Times New Roman" w:cs="Times New Roman"/>
          <w:sz w:val="20"/>
          <w:szCs w:val="20"/>
        </w:rPr>
        <w:t>):e</w:t>
      </w:r>
      <w:proofErr w:type="gramEnd"/>
      <w:r w:rsidRPr="008C1FFA">
        <w:rPr>
          <w:rFonts w:ascii="Times New Roman" w:hAnsi="Times New Roman" w:cs="Times New Roman"/>
          <w:sz w:val="20"/>
          <w:szCs w:val="20"/>
        </w:rPr>
        <w:t>306-e09.</w:t>
      </w:r>
    </w:p>
    <w:p w14:paraId="3D1765CF" w14:textId="65D2D829" w:rsidR="005973B9" w:rsidRPr="008C1FFA" w:rsidRDefault="008C1FFA" w:rsidP="008C1FFA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="Times New Roman" w:hAnsi="Times New Roman" w:cs="Times New Roman"/>
          <w:sz w:val="20"/>
          <w:szCs w:val="20"/>
        </w:rPr>
      </w:pPr>
      <w:r w:rsidRPr="008C1FFA">
        <w:rPr>
          <w:rFonts w:ascii="Times New Roman" w:hAnsi="Times New Roman" w:cs="Times New Roman"/>
          <w:sz w:val="20"/>
          <w:szCs w:val="20"/>
        </w:rPr>
        <w:t xml:space="preserve">Ahmed M. Abdelrahman, </w:t>
      </w:r>
      <w:proofErr w:type="spellStart"/>
      <w:r w:rsidRPr="008C1FFA">
        <w:rPr>
          <w:rFonts w:ascii="Times New Roman" w:hAnsi="Times New Roman" w:cs="Times New Roman"/>
          <w:sz w:val="20"/>
          <w:szCs w:val="20"/>
        </w:rPr>
        <w:t>Rasha</w:t>
      </w:r>
      <w:proofErr w:type="spellEnd"/>
      <w:r w:rsidRPr="008C1FFA">
        <w:rPr>
          <w:rFonts w:ascii="Times New Roman" w:hAnsi="Times New Roman" w:cs="Times New Roman"/>
          <w:sz w:val="20"/>
          <w:szCs w:val="20"/>
        </w:rPr>
        <w:t xml:space="preserve"> M. </w:t>
      </w:r>
      <w:proofErr w:type="spellStart"/>
      <w:r w:rsidRPr="008C1FFA">
        <w:rPr>
          <w:rFonts w:ascii="Times New Roman" w:hAnsi="Times New Roman" w:cs="Times New Roman"/>
          <w:sz w:val="20"/>
          <w:szCs w:val="20"/>
        </w:rPr>
        <w:t>Eltanamly</w:t>
      </w:r>
      <w:proofErr w:type="spellEnd"/>
      <w:r w:rsidRPr="008C1FFA">
        <w:rPr>
          <w:rFonts w:ascii="Times New Roman" w:hAnsi="Times New Roman" w:cs="Times New Roman"/>
          <w:sz w:val="20"/>
          <w:szCs w:val="20"/>
        </w:rPr>
        <w:t>: Selective Laser Trabeculoplasty in Egyptian Patients with Primary Open-Angle Glaucoma, Middle East African Journal of Ophthalmology:2012:19, (3).</w:t>
      </w:r>
    </w:p>
    <w:p w14:paraId="7AB38786" w14:textId="3585F10F" w:rsidR="008C1FFA" w:rsidRPr="008C1FFA" w:rsidRDefault="008C1FFA" w:rsidP="008C1FFA">
      <w:pPr>
        <w:pStyle w:val="BodyText"/>
        <w:numPr>
          <w:ilvl w:val="0"/>
          <w:numId w:val="3"/>
        </w:numPr>
        <w:spacing w:before="85" w:line="216" w:lineRule="exact"/>
        <w:ind w:right="138"/>
        <w:rPr>
          <w:rFonts w:ascii="Times New Roman" w:hAnsi="Times New Roman" w:cs="Times New Roman"/>
          <w:sz w:val="20"/>
          <w:szCs w:val="20"/>
        </w:rPr>
      </w:pPr>
      <w:r w:rsidRPr="008C1FFA">
        <w:rPr>
          <w:rFonts w:ascii="Times New Roman" w:hAnsi="Times New Roman" w:cs="Times New Roman"/>
          <w:sz w:val="20"/>
          <w:szCs w:val="20"/>
        </w:rPr>
        <w:t xml:space="preserve">Tony </w:t>
      </w:r>
      <w:proofErr w:type="spellStart"/>
      <w:r w:rsidRPr="008C1FFA">
        <w:rPr>
          <w:rFonts w:ascii="Times New Roman" w:hAnsi="Times New Roman" w:cs="Times New Roman"/>
          <w:sz w:val="20"/>
          <w:szCs w:val="20"/>
        </w:rPr>
        <w:t>Realini</w:t>
      </w:r>
      <w:proofErr w:type="spellEnd"/>
      <w:r w:rsidRPr="008C1FFA">
        <w:rPr>
          <w:rFonts w:ascii="Times New Roman" w:hAnsi="Times New Roman" w:cs="Times New Roman"/>
          <w:sz w:val="20"/>
          <w:szCs w:val="20"/>
        </w:rPr>
        <w:t xml:space="preserve">, MD, MPH: Selective Laser Trabeculoplasty for the Management of Open-Angle Glaucoma in St. Lucia, JAMA </w:t>
      </w:r>
      <w:proofErr w:type="spellStart"/>
      <w:r w:rsidRPr="008C1FFA">
        <w:rPr>
          <w:rFonts w:ascii="Times New Roman" w:hAnsi="Times New Roman" w:cs="Times New Roman"/>
          <w:sz w:val="20"/>
          <w:szCs w:val="20"/>
        </w:rPr>
        <w:t>Ophthalmol</w:t>
      </w:r>
      <w:proofErr w:type="spellEnd"/>
      <w:r w:rsidRPr="008C1FFA">
        <w:rPr>
          <w:rFonts w:ascii="Times New Roman" w:hAnsi="Times New Roman" w:cs="Times New Roman"/>
          <w:sz w:val="20"/>
          <w:szCs w:val="20"/>
        </w:rPr>
        <w:t>. 2013;131(3):321-327</w:t>
      </w:r>
    </w:p>
    <w:p w14:paraId="45A97E94" w14:textId="54632786" w:rsidR="005973B9" w:rsidRDefault="005973B9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</w:p>
    <w:p w14:paraId="1269DF71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02ADA634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ACDDC8D" w14:textId="77777777" w:rsidR="00AE3E37" w:rsidRDefault="00AE3E37">
      <w:pPr>
        <w:pStyle w:val="BodyText"/>
        <w:rPr>
          <w:rFonts w:ascii="Calibri"/>
          <w:sz w:val="20"/>
        </w:rPr>
      </w:pPr>
    </w:p>
    <w:p w14:paraId="2692E7E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6B838BB" wp14:editId="7465428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232D6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CD6D810" w14:textId="0591DD29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372ABD" w:rsidRPr="00372ABD">
        <w:drawing>
          <wp:inline distT="0" distB="0" distL="0" distR="0" wp14:anchorId="7A91DE1F" wp14:editId="49033D4D">
            <wp:extent cx="1314450" cy="1343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BCD89" w14:textId="75897BA2" w:rsidR="00AE3E37" w:rsidRDefault="00372AB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Jibat </w:t>
      </w:r>
      <w:proofErr w:type="spellStart"/>
      <w:r>
        <w:rPr>
          <w:rFonts w:ascii="Arial"/>
          <w:sz w:val="14"/>
        </w:rPr>
        <w:t>Gemida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Soboka</w:t>
      </w:r>
      <w:proofErr w:type="spellEnd"/>
      <w:r>
        <w:rPr>
          <w:rFonts w:ascii="Arial"/>
          <w:sz w:val="14"/>
        </w:rPr>
        <w:t xml:space="preserve"> is a young ophthalmologist practicing in Ethiopia. He is actively involved in reducing the backlog of blindness secondary to cataract. </w:t>
      </w:r>
    </w:p>
    <w:p w14:paraId="7078ADA6" w14:textId="0F241FC4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372ABD" w:rsidRPr="00E329FA">
          <w:rPr>
            <w:rStyle w:val="Hyperlink"/>
            <w:rFonts w:ascii="Arial"/>
            <w:sz w:val="14"/>
          </w:rPr>
          <w:t>jibatgemida@gmail.com</w:t>
        </w:r>
      </w:hyperlink>
    </w:p>
    <w:p w14:paraId="60AAB1F0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ADEDF7B" wp14:editId="63305A3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C6B1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50EA738B" w14:textId="68D5E29D" w:rsidR="00AE3E37" w:rsidRPr="001B5426" w:rsidRDefault="00AE3E37" w:rsidP="001B5426">
      <w:pPr>
        <w:spacing w:before="39"/>
        <w:rPr>
          <w:rFonts w:ascii="Minion Pro"/>
          <w:b/>
          <w:sz w:val="20"/>
        </w:rPr>
        <w:sectPr w:rsidR="00AE3E37" w:rsidRPr="001B5426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D5F7C27" w14:textId="75BF6540" w:rsidR="00AE3E37" w:rsidRDefault="00AE3E37" w:rsidP="001B5426">
      <w:pPr>
        <w:pStyle w:val="BodyText"/>
        <w:spacing w:before="3"/>
        <w:rPr>
          <w:rFonts w:ascii="Minion Pro"/>
          <w:sz w:val="26"/>
        </w:rPr>
      </w:pPr>
    </w:p>
    <w:p w14:paraId="4C847D37" w14:textId="77777777" w:rsidR="005E0834" w:rsidRDefault="005E0834" w:rsidP="001B5426">
      <w:pPr>
        <w:pStyle w:val="BodyText"/>
        <w:spacing w:before="3"/>
        <w:rPr>
          <w:rFonts w:ascii="Minion Pro"/>
          <w:sz w:val="26"/>
        </w:rPr>
      </w:pPr>
    </w:p>
    <w:sectPr w:rsidR="005E0834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14669F" w14:textId="77777777" w:rsidR="004679FA" w:rsidRDefault="004679FA">
      <w:r>
        <w:separator/>
      </w:r>
    </w:p>
  </w:endnote>
  <w:endnote w:type="continuationSeparator" w:id="0">
    <w:p w14:paraId="7453D3A3" w14:textId="77777777" w:rsidR="004679FA" w:rsidRDefault="00467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86945" w14:textId="42DB682E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82F7D8E" wp14:editId="763895E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ED4DBC" w14:textId="77777777" w:rsidR="00AE3E37" w:rsidRPr="001A6804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1A6804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14:paraId="02CBF64C" w14:textId="77777777" w:rsidR="00AE3E37" w:rsidRPr="001A6804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1A6804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F7D8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" filled="f" stroked="f">
              <v:textbox inset="0,0,0,0">
                <w:txbxContent>
                  <w:p w14:paraId="38ED4DBC" w14:textId="77777777" w:rsidR="00AE3E37" w:rsidRPr="001A6804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1A6804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14:paraId="02CBF64C" w14:textId="77777777" w:rsidR="00AE3E37" w:rsidRPr="001A6804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1A6804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05875B3" wp14:editId="6CA8402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4E742" w14:textId="77777777" w:rsidR="00AE3E37" w:rsidRPr="001A6804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1A6804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3(Suppl)</w:t>
                          </w:r>
                        </w:p>
                        <w:p w14:paraId="2C28AE5D" w14:textId="77777777" w:rsidR="00AE3E37" w:rsidRPr="001A6804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1A6804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5875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8S5h6u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5904E742" w14:textId="77777777" w:rsidR="00AE3E37" w:rsidRPr="001A6804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1A6804">
                      <w:rPr>
                        <w:rFonts w:ascii="Arial"/>
                        <w:color w:val="FFFFFF"/>
                        <w:sz w:val="16"/>
                      </w:rPr>
                      <w:t>Volume 5, Issue 3(Suppl)</w:t>
                    </w:r>
                  </w:p>
                  <w:p w14:paraId="2C28AE5D" w14:textId="77777777" w:rsidR="00AE3E37" w:rsidRPr="001A6804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1A6804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3DE23" w14:textId="77777777" w:rsidR="004679FA" w:rsidRDefault="004679FA">
      <w:r>
        <w:separator/>
      </w:r>
    </w:p>
  </w:footnote>
  <w:footnote w:type="continuationSeparator" w:id="0">
    <w:p w14:paraId="76969DB4" w14:textId="77777777" w:rsidR="004679FA" w:rsidRDefault="00467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5BBC2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CC5EE5D" wp14:editId="50566C6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B1CFC5" w14:textId="49994AA7" w:rsidR="00AE3E37" w:rsidRPr="001A6804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1A6804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al., J Pai n Relief 2016, 5:3(Suppl) </w:t>
                          </w:r>
                          <w:hyperlink r:id="rId1">
                            <w:r w:rsidRPr="001A6804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C5EE5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0DB1CFC5" w14:textId="49994AA7" w:rsidR="00AE3E37" w:rsidRPr="001A6804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1A6804">
                      <w:rPr>
                        <w:rFonts w:ascii="Arial"/>
                        <w:color w:val="FFFFFF"/>
                        <w:sz w:val="14"/>
                      </w:rPr>
                      <w:t xml:space="preserve">T al., J Pai n Relief 2016, 5:3(Suppl) </w:t>
                    </w:r>
                    <w:hyperlink r:id="rId2">
                      <w:r w:rsidRPr="001A6804">
                        <w:rPr>
                          <w:rFonts w:ascii="Arial"/>
                          <w:color w:val="FFFFFF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E8AA18A" wp14:editId="4763DBF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07C227" w14:textId="77777777" w:rsidR="00AE3E37" w:rsidRPr="001A6804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1A6804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14:paraId="28B02CE8" w14:textId="77777777" w:rsidR="00AE3E37" w:rsidRPr="001A6804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1A6804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1A6804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8AA18A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3407C227" w14:textId="77777777" w:rsidR="00AE3E37" w:rsidRPr="001A6804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1A6804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14:paraId="28B02CE8" w14:textId="77777777" w:rsidR="00AE3E37" w:rsidRPr="001A6804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1A6804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1A6804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72BCA"/>
    <w:rsid w:val="000D4527"/>
    <w:rsid w:val="000E2911"/>
    <w:rsid w:val="0010183E"/>
    <w:rsid w:val="001263DF"/>
    <w:rsid w:val="001A6804"/>
    <w:rsid w:val="001B5426"/>
    <w:rsid w:val="00292ED9"/>
    <w:rsid w:val="002B4272"/>
    <w:rsid w:val="00372ABD"/>
    <w:rsid w:val="00404E5B"/>
    <w:rsid w:val="00414F7B"/>
    <w:rsid w:val="004355DC"/>
    <w:rsid w:val="004679FA"/>
    <w:rsid w:val="004749B4"/>
    <w:rsid w:val="00494130"/>
    <w:rsid w:val="004F3523"/>
    <w:rsid w:val="005973B9"/>
    <w:rsid w:val="005B3A56"/>
    <w:rsid w:val="005E0834"/>
    <w:rsid w:val="006060CE"/>
    <w:rsid w:val="0063497F"/>
    <w:rsid w:val="00703FCF"/>
    <w:rsid w:val="00732C71"/>
    <w:rsid w:val="00761E1F"/>
    <w:rsid w:val="00786284"/>
    <w:rsid w:val="008703A7"/>
    <w:rsid w:val="00873DF0"/>
    <w:rsid w:val="008756E6"/>
    <w:rsid w:val="008C1FFA"/>
    <w:rsid w:val="009B2D44"/>
    <w:rsid w:val="009E2CBD"/>
    <w:rsid w:val="00A07E82"/>
    <w:rsid w:val="00A37D5F"/>
    <w:rsid w:val="00A92311"/>
    <w:rsid w:val="00A9710C"/>
    <w:rsid w:val="00AE3E37"/>
    <w:rsid w:val="00AE6F28"/>
    <w:rsid w:val="00B21A57"/>
    <w:rsid w:val="00B71778"/>
    <w:rsid w:val="00C33602"/>
    <w:rsid w:val="00CB7125"/>
    <w:rsid w:val="00CD6F55"/>
    <w:rsid w:val="00DD780E"/>
    <w:rsid w:val="00DE2E09"/>
    <w:rsid w:val="00DE3104"/>
    <w:rsid w:val="00E82F93"/>
    <w:rsid w:val="00F72EEA"/>
    <w:rsid w:val="00F84CAE"/>
    <w:rsid w:val="00FA2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9079C9"/>
  <w15:docId w15:val="{31C00EC2-2F83-48C0-9F9C-2E8ED6040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DE2E09"/>
    <w:pPr>
      <w:widowControl/>
      <w:spacing w:after="160"/>
      <w:jc w:val="both"/>
    </w:pPr>
    <w:rPr>
      <w:rFonts w:ascii="Times New Roman" w:eastAsiaTheme="minorHAnsi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DE2E09"/>
    <w:rPr>
      <w:rFonts w:ascii="Times New Roman" w:hAnsi="Times New Roman" w:cs="Times New Roman"/>
      <w:noProof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72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ibatgemida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Jibat</cp:lastModifiedBy>
  <cp:revision>13</cp:revision>
  <dcterms:created xsi:type="dcterms:W3CDTF">2020-02-18T20:51:00Z</dcterms:created>
  <dcterms:modified xsi:type="dcterms:W3CDTF">2020-02-18T21:37:00Z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