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Title: Steroid induced CSR in Uveitis patients treated with systemic steroids in a tertiary care hospital in eastern India;an epidemiologic study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Authors:Dr Avirupa Ghose(MS,FMRF) ,Dr Devi Kundu(MS)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Place of study:Sankara nethralaya,Kolkata.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Aim of the study: To analyse the prevalence of steroid induced CSR in uveitis patients.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Abstract:Retrospective,observational study with a duration from 2014 to 2017.A total of 21 eyes were analysed of 19 patients.The average age was 39.4 years with a range from  6 years to 65 years. Majority of patients were suffering from intermediate uveitis(42.1%) followed by vasculitis(15.8%) and non necrotising scleritis(15.8%).Of the 19 patients who had unilteral uveitis pathology,CSR developed in the other eye in 7 patients.The average duration of developing csr after starting systemic steroids was 241.5 days with a range from  25 to 1825 days. Average VA at the time of developing CSR was 0.526 log MaR. Diagnosis was made by OCT and FFA. All the patients were shifted from systemic steroids to non steroidal immunosuppressives immediately after diagnosis. Only 6 of the patients required focal laser for the csr,remaining patients resolved on their own.Average VA after resolving CSR was0.309 logMaR.Only 2 patients developed recurrent CSR and 2 patients developed CNVM in the same area.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Conclusion: Steroid induced CSR is a common entity and difficult to diagnose due to similarity with other uveitic entities.Majority resolves by withdrawing steroids only.Highest incidence is found in patients of intermediate uveitis. In unilateral diseases,other eye has to be evaluated regularly to detect development of CSR</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